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C55AB" w14:textId="2D124D32" w:rsidR="00561DC2" w:rsidRDefault="00BF05CF">
      <w:pPr>
        <w:pStyle w:val="Title"/>
        <w:rPr>
          <w:sz w:val="90"/>
          <w:szCs w:val="90"/>
        </w:rPr>
      </w:pPr>
      <w:r>
        <w:rPr>
          <w:noProof/>
        </w:rPr>
        <w:drawing>
          <wp:inline distT="0" distB="0" distL="0" distR="0" wp14:anchorId="112E50F6" wp14:editId="4EB8908B">
            <wp:extent cx="6155025" cy="6076709"/>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77667" cy="6099063"/>
                    </a:xfrm>
                    <a:prstGeom prst="rect">
                      <a:avLst/>
                    </a:prstGeom>
                  </pic:spPr>
                </pic:pic>
              </a:graphicData>
            </a:graphic>
          </wp:inline>
        </w:drawing>
      </w:r>
    </w:p>
    <w:tbl>
      <w:tblPr>
        <w:tblStyle w:val="TableGrid"/>
        <w:tblW w:w="9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1"/>
      </w:tblGrid>
      <w:tr w:rsidR="00E8177A" w14:paraId="2CBBC89F" w14:textId="77777777" w:rsidTr="003D0CF9">
        <w:trPr>
          <w:trHeight w:val="4080"/>
        </w:trPr>
        <w:tc>
          <w:tcPr>
            <w:tcW w:w="9651" w:type="dxa"/>
            <w:shd w:val="clear" w:color="auto" w:fill="0F4058" w:themeFill="accent1"/>
          </w:tcPr>
          <w:p w14:paraId="5FB06F7C" w14:textId="25A7D28B" w:rsidR="00E8177A" w:rsidRDefault="00E8177A">
            <w:pPr>
              <w:suppressAutoHyphens w:val="0"/>
            </w:pPr>
          </w:p>
          <w:p w14:paraId="54063788" w14:textId="4BE86AF6" w:rsidR="00E8177A" w:rsidRDefault="00E8177A">
            <w:pPr>
              <w:suppressAutoHyphens w:val="0"/>
            </w:pPr>
          </w:p>
          <w:p w14:paraId="0115B625" w14:textId="77777777" w:rsidR="00E8177A" w:rsidRDefault="00E8177A">
            <w:pPr>
              <w:suppressAutoHyphens w:val="0"/>
            </w:pPr>
          </w:p>
          <w:p w14:paraId="50044557" w14:textId="77777777" w:rsidR="00E8177A" w:rsidRDefault="00E8177A">
            <w:pPr>
              <w:suppressAutoHyphens w:val="0"/>
            </w:pPr>
          </w:p>
          <w:p w14:paraId="3F7CF6DB" w14:textId="3B14538D" w:rsidR="00E8177A" w:rsidRDefault="00E15CF9" w:rsidP="00AE743E">
            <w:pPr>
              <w:suppressAutoHyphens w:val="0"/>
              <w:jc w:val="center"/>
              <w:rPr>
                <w:color w:val="FFFFFF" w:themeColor="background1"/>
                <w:sz w:val="28"/>
                <w:szCs w:val="28"/>
              </w:rPr>
            </w:pPr>
            <w:r>
              <w:rPr>
                <w:color w:val="FFFFFF" w:themeColor="background1"/>
                <w:sz w:val="28"/>
                <w:szCs w:val="28"/>
              </w:rPr>
              <w:t>Endorsed</w:t>
            </w:r>
            <w:r w:rsidR="00E84443">
              <w:rPr>
                <w:color w:val="FFFFFF" w:themeColor="background1"/>
                <w:sz w:val="28"/>
                <w:szCs w:val="28"/>
              </w:rPr>
              <w:t xml:space="preserve"> </w:t>
            </w:r>
            <w:r>
              <w:rPr>
                <w:color w:val="FFFFFF" w:themeColor="background1"/>
                <w:sz w:val="28"/>
                <w:szCs w:val="28"/>
              </w:rPr>
              <w:t>7 December 2022</w:t>
            </w:r>
            <w:r w:rsidR="00DA79FA">
              <w:rPr>
                <w:color w:val="FFFFFF" w:themeColor="background1"/>
                <w:sz w:val="28"/>
                <w:szCs w:val="28"/>
              </w:rPr>
              <w:t xml:space="preserve"> </w:t>
            </w:r>
          </w:p>
          <w:p w14:paraId="5210DB0E" w14:textId="5E69FC0B" w:rsidR="00C6765B" w:rsidRPr="00BE72D2" w:rsidRDefault="00C6765B" w:rsidP="00C6765B">
            <w:pPr>
              <w:suppressAutoHyphens w:val="0"/>
              <w:rPr>
                <w:color w:val="FFC000"/>
                <w:sz w:val="24"/>
                <w:szCs w:val="24"/>
              </w:rPr>
            </w:pPr>
            <w:r w:rsidRPr="000C0704">
              <w:rPr>
                <w:color w:val="FFC000"/>
                <w:sz w:val="28"/>
                <w:szCs w:val="28"/>
              </w:rPr>
              <w:t xml:space="preserve">                           </w:t>
            </w:r>
            <w:r w:rsidR="00BE72D2">
              <w:rPr>
                <w:color w:val="FFC000"/>
                <w:sz w:val="28"/>
                <w:szCs w:val="28"/>
              </w:rPr>
              <w:t xml:space="preserve">      </w:t>
            </w:r>
            <w:r w:rsidRPr="00BE72D2">
              <w:rPr>
                <w:color w:val="FFC000"/>
                <w:sz w:val="24"/>
                <w:szCs w:val="24"/>
                <w:highlight w:val="black"/>
              </w:rPr>
              <w:t>Update</w:t>
            </w:r>
            <w:r w:rsidR="00BE72D2" w:rsidRPr="00BE72D2">
              <w:rPr>
                <w:color w:val="FFC000"/>
                <w:sz w:val="24"/>
                <w:szCs w:val="24"/>
                <w:highlight w:val="black"/>
              </w:rPr>
              <w:t xml:space="preserve"> endorsed by Council</w:t>
            </w:r>
            <w:r w:rsidR="000B61E1" w:rsidRPr="00BE72D2">
              <w:rPr>
                <w:color w:val="FFC000"/>
                <w:sz w:val="24"/>
                <w:szCs w:val="24"/>
                <w:highlight w:val="black"/>
              </w:rPr>
              <w:t xml:space="preserve"> </w:t>
            </w:r>
            <w:r w:rsidR="00BE72D2" w:rsidRPr="00BE72D2">
              <w:rPr>
                <w:color w:val="FFC000"/>
                <w:sz w:val="24"/>
                <w:szCs w:val="24"/>
                <w:highlight w:val="black"/>
              </w:rPr>
              <w:t xml:space="preserve">12 </w:t>
            </w:r>
            <w:r w:rsidR="002743BA" w:rsidRPr="00BE72D2">
              <w:rPr>
                <w:color w:val="FFC000"/>
                <w:sz w:val="24"/>
                <w:szCs w:val="24"/>
                <w:highlight w:val="black"/>
              </w:rPr>
              <w:t>February</w:t>
            </w:r>
            <w:r w:rsidR="003E2255" w:rsidRPr="00BE72D2">
              <w:rPr>
                <w:color w:val="FFC000"/>
                <w:sz w:val="24"/>
                <w:szCs w:val="24"/>
                <w:highlight w:val="black"/>
              </w:rPr>
              <w:t xml:space="preserve"> 2025</w:t>
            </w:r>
            <w:r w:rsidR="000B61E1" w:rsidRPr="00BE72D2">
              <w:rPr>
                <w:color w:val="FFC000"/>
                <w:sz w:val="24"/>
                <w:szCs w:val="24"/>
                <w:highlight w:val="black"/>
              </w:rPr>
              <w:t xml:space="preserve"> </w:t>
            </w:r>
          </w:p>
          <w:p w14:paraId="6A92E6F3" w14:textId="77777777" w:rsidR="00E15CF9" w:rsidRDefault="00E15CF9" w:rsidP="00E15CF9">
            <w:pPr>
              <w:suppressAutoHyphens w:val="0"/>
              <w:rPr>
                <w:color w:val="FFFFFF" w:themeColor="background1"/>
                <w:sz w:val="20"/>
                <w:szCs w:val="20"/>
              </w:rPr>
            </w:pPr>
          </w:p>
          <w:p w14:paraId="48190B89" w14:textId="28665D8E" w:rsidR="00E15CF9" w:rsidRDefault="00E15CF9" w:rsidP="00AE743E">
            <w:pPr>
              <w:suppressAutoHyphens w:val="0"/>
              <w:jc w:val="center"/>
              <w:rPr>
                <w:color w:val="FFFFFF" w:themeColor="background1"/>
                <w:sz w:val="20"/>
                <w:szCs w:val="20"/>
              </w:rPr>
            </w:pPr>
          </w:p>
          <w:p w14:paraId="382575D6" w14:textId="77777777" w:rsidR="00E15CF9" w:rsidRPr="00AE743E" w:rsidRDefault="00E15CF9" w:rsidP="00AE743E">
            <w:pPr>
              <w:suppressAutoHyphens w:val="0"/>
              <w:jc w:val="center"/>
              <w:rPr>
                <w:color w:val="FFFFFF" w:themeColor="background1"/>
                <w:sz w:val="28"/>
                <w:szCs w:val="28"/>
              </w:rPr>
            </w:pPr>
          </w:p>
          <w:p w14:paraId="65748F5F" w14:textId="77777777" w:rsidR="00E8177A" w:rsidRDefault="00E8177A">
            <w:pPr>
              <w:suppressAutoHyphens w:val="0"/>
            </w:pPr>
          </w:p>
          <w:p w14:paraId="65F8320E" w14:textId="77777777" w:rsidR="00E8177A" w:rsidRDefault="00E8177A">
            <w:pPr>
              <w:suppressAutoHyphens w:val="0"/>
            </w:pPr>
          </w:p>
          <w:p w14:paraId="4694F0C1" w14:textId="77777777" w:rsidR="00E8177A" w:rsidRDefault="00E8177A">
            <w:pPr>
              <w:suppressAutoHyphens w:val="0"/>
            </w:pPr>
          </w:p>
          <w:p w14:paraId="6688EC91" w14:textId="1C648A48" w:rsidR="00E8177A" w:rsidRDefault="00E84443" w:rsidP="00E84443">
            <w:pPr>
              <w:suppressAutoHyphens w:val="0"/>
              <w:jc w:val="center"/>
            </w:pPr>
            <w:r>
              <w:t>Merri-bek City Council 90 Bell Street Coburg, Victoria, 3058  T: (03) 9240 1111</w:t>
            </w:r>
          </w:p>
          <w:p w14:paraId="71177A4D" w14:textId="521A5D09" w:rsidR="00E8177A" w:rsidRDefault="00E8177A">
            <w:pPr>
              <w:suppressAutoHyphens w:val="0"/>
            </w:pPr>
          </w:p>
        </w:tc>
      </w:tr>
      <w:tr w:rsidR="00ED71B4" w14:paraId="4D6E07E2" w14:textId="77777777" w:rsidTr="003D0CF9">
        <w:trPr>
          <w:trHeight w:val="43"/>
        </w:trPr>
        <w:tc>
          <w:tcPr>
            <w:tcW w:w="9651" w:type="dxa"/>
            <w:shd w:val="clear" w:color="auto" w:fill="0F4058" w:themeFill="accent1"/>
          </w:tcPr>
          <w:p w14:paraId="746B24C1" w14:textId="15EF4866" w:rsidR="00ED71B4" w:rsidRDefault="00C94732" w:rsidP="00AE743E">
            <w:pPr>
              <w:tabs>
                <w:tab w:val="left" w:pos="6471"/>
              </w:tabs>
              <w:suppressAutoHyphens w:val="0"/>
            </w:pPr>
            <w:r>
              <w:tab/>
            </w:r>
          </w:p>
        </w:tc>
      </w:tr>
    </w:tbl>
    <w:sdt>
      <w:sdtPr>
        <w:rPr>
          <w:rFonts w:ascii="Nunito Sans Light" w:eastAsia="Calibri" w:hAnsi="Nunito Sans Light" w:cs="Times New Roman"/>
          <w:color w:val="auto"/>
          <w:sz w:val="22"/>
          <w:szCs w:val="22"/>
          <w:lang w:val="en-AU"/>
        </w:rPr>
        <w:id w:val="315146127"/>
        <w:docPartObj>
          <w:docPartGallery w:val="Table of Contents"/>
          <w:docPartUnique/>
        </w:docPartObj>
      </w:sdtPr>
      <w:sdtEndPr>
        <w:rPr>
          <w:b/>
          <w:bCs/>
          <w:noProof/>
        </w:rPr>
      </w:sdtEndPr>
      <w:sdtContent>
        <w:p w14:paraId="62E33477" w14:textId="23F81EA0" w:rsidR="00B310C0" w:rsidRPr="00CA2AA2" w:rsidRDefault="00B310C0">
          <w:pPr>
            <w:pStyle w:val="TOCHeading"/>
            <w:rPr>
              <w:rFonts w:ascii="Galano Grotesque ExtraBold" w:eastAsia="Calibri" w:hAnsi="Galano Grotesque ExtraBold" w:cs="Times New Roman"/>
              <w:color w:val="0F4058" w:themeColor="accent1"/>
              <w:sz w:val="28"/>
              <w:szCs w:val="22"/>
              <w:lang w:val="en-AU"/>
            </w:rPr>
          </w:pPr>
          <w:r w:rsidRPr="00CA2AA2">
            <w:rPr>
              <w:rFonts w:ascii="Galano Grotesque ExtraBold" w:eastAsia="Calibri" w:hAnsi="Galano Grotesque ExtraBold" w:cs="Times New Roman"/>
              <w:color w:val="0F4058" w:themeColor="accent1"/>
              <w:sz w:val="28"/>
              <w:szCs w:val="22"/>
              <w:lang w:val="en-AU"/>
            </w:rPr>
            <w:t>Contents</w:t>
          </w:r>
        </w:p>
        <w:p w14:paraId="7147FF40" w14:textId="7D3E86EC" w:rsidR="007C56F0" w:rsidRDefault="00B310C0">
          <w:pPr>
            <w:pStyle w:val="TOC1"/>
            <w:tabs>
              <w:tab w:val="left" w:pos="480"/>
              <w:tab w:val="right" w:leader="dot" w:pos="9463"/>
            </w:tabs>
            <w:rPr>
              <w:rFonts w:asciiTheme="minorHAnsi" w:eastAsiaTheme="minorEastAsia" w:hAnsiTheme="minorHAnsi" w:cstheme="minorBidi"/>
              <w:noProof/>
              <w:kern w:val="2"/>
              <w:sz w:val="24"/>
              <w:szCs w:val="24"/>
              <w:lang w:eastAsia="en-AU"/>
              <w14:ligatures w14:val="standardContextual"/>
            </w:rPr>
          </w:pPr>
          <w:r>
            <w:fldChar w:fldCharType="begin"/>
          </w:r>
          <w:r>
            <w:instrText xml:space="preserve"> TOC \o "1-3" \h \z \u </w:instrText>
          </w:r>
          <w:r>
            <w:fldChar w:fldCharType="separate"/>
          </w:r>
          <w:hyperlink w:anchor="_Toc183183449" w:history="1">
            <w:r w:rsidR="007C56F0" w:rsidRPr="00EF3AE4">
              <w:rPr>
                <w:rStyle w:val="Hyperlink"/>
                <w:noProof/>
              </w:rPr>
              <w:t>1.</w:t>
            </w:r>
            <w:r w:rsidR="007C56F0">
              <w:rPr>
                <w:rFonts w:asciiTheme="minorHAnsi" w:eastAsiaTheme="minorEastAsia" w:hAnsiTheme="minorHAnsi" w:cstheme="minorBidi"/>
                <w:noProof/>
                <w:kern w:val="2"/>
                <w:sz w:val="24"/>
                <w:szCs w:val="24"/>
                <w:lang w:eastAsia="en-AU"/>
                <w14:ligatures w14:val="standardContextual"/>
              </w:rPr>
              <w:tab/>
            </w:r>
            <w:r w:rsidR="007C56F0" w:rsidRPr="00EF3AE4">
              <w:rPr>
                <w:rStyle w:val="Hyperlink"/>
                <w:noProof/>
              </w:rPr>
              <w:t>Introduction</w:t>
            </w:r>
            <w:r w:rsidR="007C56F0">
              <w:rPr>
                <w:noProof/>
                <w:webHidden/>
              </w:rPr>
              <w:tab/>
            </w:r>
            <w:r w:rsidR="007C56F0">
              <w:rPr>
                <w:noProof/>
                <w:webHidden/>
              </w:rPr>
              <w:fldChar w:fldCharType="begin"/>
            </w:r>
            <w:r w:rsidR="007C56F0">
              <w:rPr>
                <w:noProof/>
                <w:webHidden/>
              </w:rPr>
              <w:instrText xml:space="preserve"> PAGEREF _Toc183183449 \h </w:instrText>
            </w:r>
            <w:r w:rsidR="007C56F0">
              <w:rPr>
                <w:noProof/>
                <w:webHidden/>
              </w:rPr>
            </w:r>
            <w:r w:rsidR="007C56F0">
              <w:rPr>
                <w:noProof/>
                <w:webHidden/>
              </w:rPr>
              <w:fldChar w:fldCharType="separate"/>
            </w:r>
            <w:r w:rsidR="007C56F0">
              <w:rPr>
                <w:noProof/>
                <w:webHidden/>
              </w:rPr>
              <w:t>3</w:t>
            </w:r>
            <w:r w:rsidR="007C56F0">
              <w:rPr>
                <w:noProof/>
                <w:webHidden/>
              </w:rPr>
              <w:fldChar w:fldCharType="end"/>
            </w:r>
          </w:hyperlink>
        </w:p>
        <w:p w14:paraId="72181B5B" w14:textId="25F24FF0" w:rsidR="007C56F0" w:rsidRDefault="007C56F0">
          <w:pPr>
            <w:pStyle w:val="TOC1"/>
            <w:tabs>
              <w:tab w:val="left" w:pos="480"/>
              <w:tab w:val="right" w:leader="dot" w:pos="9463"/>
            </w:tabs>
            <w:rPr>
              <w:rFonts w:asciiTheme="minorHAnsi" w:eastAsiaTheme="minorEastAsia" w:hAnsiTheme="minorHAnsi" w:cstheme="minorBidi"/>
              <w:noProof/>
              <w:kern w:val="2"/>
              <w:sz w:val="24"/>
              <w:szCs w:val="24"/>
              <w:lang w:eastAsia="en-AU"/>
              <w14:ligatures w14:val="standardContextual"/>
            </w:rPr>
          </w:pPr>
          <w:hyperlink w:anchor="_Toc183183450" w:history="1">
            <w:r w:rsidRPr="00EF3AE4">
              <w:rPr>
                <w:rStyle w:val="Hyperlink"/>
                <w:noProof/>
              </w:rPr>
              <w:t>2.</w:t>
            </w:r>
            <w:r>
              <w:rPr>
                <w:rFonts w:asciiTheme="minorHAnsi" w:eastAsiaTheme="minorEastAsia" w:hAnsiTheme="minorHAnsi" w:cstheme="minorBidi"/>
                <w:noProof/>
                <w:kern w:val="2"/>
                <w:sz w:val="24"/>
                <w:szCs w:val="24"/>
                <w:lang w:eastAsia="en-AU"/>
                <w14:ligatures w14:val="standardContextual"/>
              </w:rPr>
              <w:tab/>
            </w:r>
            <w:r w:rsidRPr="00EF3AE4">
              <w:rPr>
                <w:rStyle w:val="Hyperlink"/>
                <w:noProof/>
              </w:rPr>
              <w:t>Context</w:t>
            </w:r>
            <w:r>
              <w:rPr>
                <w:noProof/>
                <w:webHidden/>
              </w:rPr>
              <w:tab/>
            </w:r>
            <w:r>
              <w:rPr>
                <w:noProof/>
                <w:webHidden/>
              </w:rPr>
              <w:fldChar w:fldCharType="begin"/>
            </w:r>
            <w:r>
              <w:rPr>
                <w:noProof/>
                <w:webHidden/>
              </w:rPr>
              <w:instrText xml:space="preserve"> PAGEREF _Toc183183450 \h </w:instrText>
            </w:r>
            <w:r>
              <w:rPr>
                <w:noProof/>
                <w:webHidden/>
              </w:rPr>
            </w:r>
            <w:r>
              <w:rPr>
                <w:noProof/>
                <w:webHidden/>
              </w:rPr>
              <w:fldChar w:fldCharType="separate"/>
            </w:r>
            <w:r>
              <w:rPr>
                <w:noProof/>
                <w:webHidden/>
              </w:rPr>
              <w:t>3</w:t>
            </w:r>
            <w:r>
              <w:rPr>
                <w:noProof/>
                <w:webHidden/>
              </w:rPr>
              <w:fldChar w:fldCharType="end"/>
            </w:r>
          </w:hyperlink>
        </w:p>
        <w:p w14:paraId="21DE5B7C" w14:textId="30985F15" w:rsidR="007C56F0" w:rsidRDefault="007C56F0">
          <w:pPr>
            <w:pStyle w:val="TOC1"/>
            <w:tabs>
              <w:tab w:val="left" w:pos="480"/>
              <w:tab w:val="right" w:leader="dot" w:pos="9463"/>
            </w:tabs>
            <w:rPr>
              <w:rFonts w:asciiTheme="minorHAnsi" w:eastAsiaTheme="minorEastAsia" w:hAnsiTheme="minorHAnsi" w:cstheme="minorBidi"/>
              <w:noProof/>
              <w:kern w:val="2"/>
              <w:sz w:val="24"/>
              <w:szCs w:val="24"/>
              <w:lang w:eastAsia="en-AU"/>
              <w14:ligatures w14:val="standardContextual"/>
            </w:rPr>
          </w:pPr>
          <w:hyperlink w:anchor="_Toc183183451" w:history="1">
            <w:r w:rsidRPr="00EF3AE4">
              <w:rPr>
                <w:rStyle w:val="Hyperlink"/>
                <w:noProof/>
              </w:rPr>
              <w:t>3.</w:t>
            </w:r>
            <w:r>
              <w:rPr>
                <w:rFonts w:asciiTheme="minorHAnsi" w:eastAsiaTheme="minorEastAsia" w:hAnsiTheme="minorHAnsi" w:cstheme="minorBidi"/>
                <w:noProof/>
                <w:kern w:val="2"/>
                <w:sz w:val="24"/>
                <w:szCs w:val="24"/>
                <w:lang w:eastAsia="en-AU"/>
                <w14:ligatures w14:val="standardContextual"/>
              </w:rPr>
              <w:tab/>
            </w:r>
            <w:r w:rsidRPr="00EF3AE4">
              <w:rPr>
                <w:rStyle w:val="Hyperlink"/>
                <w:noProof/>
              </w:rPr>
              <w:t>Strategic Context and Alignment</w:t>
            </w:r>
            <w:r>
              <w:rPr>
                <w:noProof/>
                <w:webHidden/>
              </w:rPr>
              <w:tab/>
            </w:r>
            <w:r>
              <w:rPr>
                <w:noProof/>
                <w:webHidden/>
              </w:rPr>
              <w:fldChar w:fldCharType="begin"/>
            </w:r>
            <w:r>
              <w:rPr>
                <w:noProof/>
                <w:webHidden/>
              </w:rPr>
              <w:instrText xml:space="preserve"> PAGEREF _Toc183183451 \h </w:instrText>
            </w:r>
            <w:r>
              <w:rPr>
                <w:noProof/>
                <w:webHidden/>
              </w:rPr>
            </w:r>
            <w:r>
              <w:rPr>
                <w:noProof/>
                <w:webHidden/>
              </w:rPr>
              <w:fldChar w:fldCharType="separate"/>
            </w:r>
            <w:r>
              <w:rPr>
                <w:noProof/>
                <w:webHidden/>
              </w:rPr>
              <w:t>4</w:t>
            </w:r>
            <w:r>
              <w:rPr>
                <w:noProof/>
                <w:webHidden/>
              </w:rPr>
              <w:fldChar w:fldCharType="end"/>
            </w:r>
          </w:hyperlink>
        </w:p>
        <w:p w14:paraId="6A686D66" w14:textId="0BF3FCA5" w:rsidR="007C56F0" w:rsidRDefault="007C56F0">
          <w:pPr>
            <w:pStyle w:val="TOC1"/>
            <w:tabs>
              <w:tab w:val="left" w:pos="480"/>
              <w:tab w:val="right" w:leader="dot" w:pos="9463"/>
            </w:tabs>
            <w:rPr>
              <w:rFonts w:asciiTheme="minorHAnsi" w:eastAsiaTheme="minorEastAsia" w:hAnsiTheme="minorHAnsi" w:cstheme="minorBidi"/>
              <w:noProof/>
              <w:kern w:val="2"/>
              <w:sz w:val="24"/>
              <w:szCs w:val="24"/>
              <w:lang w:eastAsia="en-AU"/>
              <w14:ligatures w14:val="standardContextual"/>
            </w:rPr>
          </w:pPr>
          <w:hyperlink w:anchor="_Toc183183452" w:history="1">
            <w:r w:rsidRPr="00EF3AE4">
              <w:rPr>
                <w:rStyle w:val="Hyperlink"/>
                <w:noProof/>
              </w:rPr>
              <w:t>4.</w:t>
            </w:r>
            <w:r>
              <w:rPr>
                <w:rFonts w:asciiTheme="minorHAnsi" w:eastAsiaTheme="minorEastAsia" w:hAnsiTheme="minorHAnsi" w:cstheme="minorBidi"/>
                <w:noProof/>
                <w:kern w:val="2"/>
                <w:sz w:val="24"/>
                <w:szCs w:val="24"/>
                <w:lang w:eastAsia="en-AU"/>
                <w14:ligatures w14:val="standardContextual"/>
              </w:rPr>
              <w:tab/>
            </w:r>
            <w:r w:rsidRPr="00EF3AE4">
              <w:rPr>
                <w:rStyle w:val="Hyperlink"/>
                <w:noProof/>
              </w:rPr>
              <w:t>Affordable Housing in Merri-bek</w:t>
            </w:r>
            <w:r>
              <w:rPr>
                <w:noProof/>
                <w:webHidden/>
              </w:rPr>
              <w:tab/>
            </w:r>
            <w:r>
              <w:rPr>
                <w:noProof/>
                <w:webHidden/>
              </w:rPr>
              <w:fldChar w:fldCharType="begin"/>
            </w:r>
            <w:r>
              <w:rPr>
                <w:noProof/>
                <w:webHidden/>
              </w:rPr>
              <w:instrText xml:space="preserve"> PAGEREF _Toc183183452 \h </w:instrText>
            </w:r>
            <w:r>
              <w:rPr>
                <w:noProof/>
                <w:webHidden/>
              </w:rPr>
            </w:r>
            <w:r>
              <w:rPr>
                <w:noProof/>
                <w:webHidden/>
              </w:rPr>
              <w:fldChar w:fldCharType="separate"/>
            </w:r>
            <w:r>
              <w:rPr>
                <w:noProof/>
                <w:webHidden/>
              </w:rPr>
              <w:t>7</w:t>
            </w:r>
            <w:r>
              <w:rPr>
                <w:noProof/>
                <w:webHidden/>
              </w:rPr>
              <w:fldChar w:fldCharType="end"/>
            </w:r>
          </w:hyperlink>
        </w:p>
        <w:p w14:paraId="4339DB97" w14:textId="5CFA4994" w:rsidR="007C56F0" w:rsidRDefault="007C56F0">
          <w:pPr>
            <w:pStyle w:val="TOC1"/>
            <w:tabs>
              <w:tab w:val="left" w:pos="480"/>
              <w:tab w:val="right" w:leader="dot" w:pos="9463"/>
            </w:tabs>
            <w:rPr>
              <w:rFonts w:asciiTheme="minorHAnsi" w:eastAsiaTheme="minorEastAsia" w:hAnsiTheme="minorHAnsi" w:cstheme="minorBidi"/>
              <w:noProof/>
              <w:kern w:val="2"/>
              <w:sz w:val="24"/>
              <w:szCs w:val="24"/>
              <w:lang w:eastAsia="en-AU"/>
              <w14:ligatures w14:val="standardContextual"/>
            </w:rPr>
          </w:pPr>
          <w:hyperlink w:anchor="_Toc183183453" w:history="1">
            <w:r w:rsidRPr="00EF3AE4">
              <w:rPr>
                <w:rStyle w:val="Hyperlink"/>
                <w:noProof/>
              </w:rPr>
              <w:t>5.</w:t>
            </w:r>
            <w:r>
              <w:rPr>
                <w:rFonts w:asciiTheme="minorHAnsi" w:eastAsiaTheme="minorEastAsia" w:hAnsiTheme="minorHAnsi" w:cstheme="minorBidi"/>
                <w:noProof/>
                <w:kern w:val="2"/>
                <w:sz w:val="24"/>
                <w:szCs w:val="24"/>
                <w:lang w:eastAsia="en-AU"/>
                <w14:ligatures w14:val="standardContextual"/>
              </w:rPr>
              <w:tab/>
            </w:r>
            <w:r w:rsidRPr="00EF3AE4">
              <w:rPr>
                <w:rStyle w:val="Hyperlink"/>
                <w:noProof/>
              </w:rPr>
              <w:t>Council’s Role</w:t>
            </w:r>
            <w:r>
              <w:rPr>
                <w:noProof/>
                <w:webHidden/>
              </w:rPr>
              <w:tab/>
            </w:r>
            <w:r>
              <w:rPr>
                <w:noProof/>
                <w:webHidden/>
              </w:rPr>
              <w:fldChar w:fldCharType="begin"/>
            </w:r>
            <w:r>
              <w:rPr>
                <w:noProof/>
                <w:webHidden/>
              </w:rPr>
              <w:instrText xml:space="preserve"> PAGEREF _Toc183183453 \h </w:instrText>
            </w:r>
            <w:r>
              <w:rPr>
                <w:noProof/>
                <w:webHidden/>
              </w:rPr>
            </w:r>
            <w:r>
              <w:rPr>
                <w:noProof/>
                <w:webHidden/>
              </w:rPr>
              <w:fldChar w:fldCharType="separate"/>
            </w:r>
            <w:r>
              <w:rPr>
                <w:noProof/>
                <w:webHidden/>
              </w:rPr>
              <w:t>10</w:t>
            </w:r>
            <w:r>
              <w:rPr>
                <w:noProof/>
                <w:webHidden/>
              </w:rPr>
              <w:fldChar w:fldCharType="end"/>
            </w:r>
          </w:hyperlink>
        </w:p>
        <w:p w14:paraId="1DA9FB29" w14:textId="709707F6" w:rsidR="007C56F0" w:rsidRDefault="007C56F0">
          <w:pPr>
            <w:pStyle w:val="TOC1"/>
            <w:tabs>
              <w:tab w:val="right" w:leader="dot" w:pos="9463"/>
            </w:tabs>
            <w:rPr>
              <w:rFonts w:asciiTheme="minorHAnsi" w:eastAsiaTheme="minorEastAsia" w:hAnsiTheme="minorHAnsi" w:cstheme="minorBidi"/>
              <w:noProof/>
              <w:kern w:val="2"/>
              <w:sz w:val="24"/>
              <w:szCs w:val="24"/>
              <w:lang w:eastAsia="en-AU"/>
              <w14:ligatures w14:val="standardContextual"/>
            </w:rPr>
          </w:pPr>
          <w:hyperlink w:anchor="_Toc183183454" w:history="1">
            <w:r w:rsidRPr="00EF3AE4">
              <w:rPr>
                <w:rStyle w:val="Hyperlink"/>
                <w:noProof/>
              </w:rPr>
              <w:t>6. Affordable Housing Action Plan</w:t>
            </w:r>
            <w:r>
              <w:rPr>
                <w:noProof/>
                <w:webHidden/>
              </w:rPr>
              <w:tab/>
            </w:r>
            <w:r>
              <w:rPr>
                <w:noProof/>
                <w:webHidden/>
              </w:rPr>
              <w:fldChar w:fldCharType="begin"/>
            </w:r>
            <w:r>
              <w:rPr>
                <w:noProof/>
                <w:webHidden/>
              </w:rPr>
              <w:instrText xml:space="preserve"> PAGEREF _Toc183183454 \h </w:instrText>
            </w:r>
            <w:r>
              <w:rPr>
                <w:noProof/>
                <w:webHidden/>
              </w:rPr>
            </w:r>
            <w:r>
              <w:rPr>
                <w:noProof/>
                <w:webHidden/>
              </w:rPr>
              <w:fldChar w:fldCharType="separate"/>
            </w:r>
            <w:r>
              <w:rPr>
                <w:noProof/>
                <w:webHidden/>
              </w:rPr>
              <w:t>12</w:t>
            </w:r>
            <w:r>
              <w:rPr>
                <w:noProof/>
                <w:webHidden/>
              </w:rPr>
              <w:fldChar w:fldCharType="end"/>
            </w:r>
          </w:hyperlink>
        </w:p>
        <w:p w14:paraId="1D151C6D" w14:textId="6EAC745B" w:rsidR="007C56F0" w:rsidRDefault="007C56F0">
          <w:pPr>
            <w:pStyle w:val="TOC2"/>
            <w:tabs>
              <w:tab w:val="right" w:leader="dot" w:pos="9463"/>
            </w:tabs>
            <w:rPr>
              <w:rFonts w:asciiTheme="minorHAnsi" w:eastAsiaTheme="minorEastAsia" w:hAnsiTheme="minorHAnsi" w:cstheme="minorBidi"/>
              <w:noProof/>
              <w:kern w:val="2"/>
              <w:sz w:val="24"/>
              <w:szCs w:val="24"/>
              <w:lang w:eastAsia="en-AU"/>
              <w14:ligatures w14:val="standardContextual"/>
            </w:rPr>
          </w:pPr>
          <w:hyperlink w:anchor="_Toc183183455" w:history="1">
            <w:r w:rsidRPr="00EF3AE4">
              <w:rPr>
                <w:rStyle w:val="Hyperlink"/>
                <w:noProof/>
              </w:rPr>
              <w:t>Focus Area 1 – Planning</w:t>
            </w:r>
            <w:r>
              <w:rPr>
                <w:noProof/>
                <w:webHidden/>
              </w:rPr>
              <w:tab/>
            </w:r>
            <w:r>
              <w:rPr>
                <w:noProof/>
                <w:webHidden/>
              </w:rPr>
              <w:fldChar w:fldCharType="begin"/>
            </w:r>
            <w:r>
              <w:rPr>
                <w:noProof/>
                <w:webHidden/>
              </w:rPr>
              <w:instrText xml:space="preserve"> PAGEREF _Toc183183455 \h </w:instrText>
            </w:r>
            <w:r>
              <w:rPr>
                <w:noProof/>
                <w:webHidden/>
              </w:rPr>
            </w:r>
            <w:r>
              <w:rPr>
                <w:noProof/>
                <w:webHidden/>
              </w:rPr>
              <w:fldChar w:fldCharType="separate"/>
            </w:r>
            <w:r>
              <w:rPr>
                <w:noProof/>
                <w:webHidden/>
              </w:rPr>
              <w:t>12</w:t>
            </w:r>
            <w:r>
              <w:rPr>
                <w:noProof/>
                <w:webHidden/>
              </w:rPr>
              <w:fldChar w:fldCharType="end"/>
            </w:r>
          </w:hyperlink>
        </w:p>
        <w:p w14:paraId="4DF054D8" w14:textId="0D4A18FA" w:rsidR="007C56F0" w:rsidRDefault="007C56F0">
          <w:pPr>
            <w:pStyle w:val="TOC2"/>
            <w:tabs>
              <w:tab w:val="right" w:leader="dot" w:pos="9463"/>
            </w:tabs>
            <w:rPr>
              <w:rFonts w:asciiTheme="minorHAnsi" w:eastAsiaTheme="minorEastAsia" w:hAnsiTheme="minorHAnsi" w:cstheme="minorBidi"/>
              <w:noProof/>
              <w:kern w:val="2"/>
              <w:sz w:val="24"/>
              <w:szCs w:val="24"/>
              <w:lang w:eastAsia="en-AU"/>
              <w14:ligatures w14:val="standardContextual"/>
            </w:rPr>
          </w:pPr>
          <w:hyperlink w:anchor="_Toc183183456" w:history="1">
            <w:r w:rsidRPr="00EF3AE4">
              <w:rPr>
                <w:rStyle w:val="Hyperlink"/>
                <w:noProof/>
              </w:rPr>
              <w:t>Focus Area 2 – Partnerships</w:t>
            </w:r>
            <w:r>
              <w:rPr>
                <w:noProof/>
                <w:webHidden/>
              </w:rPr>
              <w:tab/>
            </w:r>
            <w:r>
              <w:rPr>
                <w:noProof/>
                <w:webHidden/>
              </w:rPr>
              <w:fldChar w:fldCharType="begin"/>
            </w:r>
            <w:r>
              <w:rPr>
                <w:noProof/>
                <w:webHidden/>
              </w:rPr>
              <w:instrText xml:space="preserve"> PAGEREF _Toc183183456 \h </w:instrText>
            </w:r>
            <w:r>
              <w:rPr>
                <w:noProof/>
                <w:webHidden/>
              </w:rPr>
            </w:r>
            <w:r>
              <w:rPr>
                <w:noProof/>
                <w:webHidden/>
              </w:rPr>
              <w:fldChar w:fldCharType="separate"/>
            </w:r>
            <w:r>
              <w:rPr>
                <w:noProof/>
                <w:webHidden/>
              </w:rPr>
              <w:t>15</w:t>
            </w:r>
            <w:r>
              <w:rPr>
                <w:noProof/>
                <w:webHidden/>
              </w:rPr>
              <w:fldChar w:fldCharType="end"/>
            </w:r>
          </w:hyperlink>
        </w:p>
        <w:p w14:paraId="17F3B4BE" w14:textId="374B3CF4" w:rsidR="007C56F0" w:rsidRDefault="007C56F0">
          <w:pPr>
            <w:pStyle w:val="TOC2"/>
            <w:tabs>
              <w:tab w:val="right" w:leader="dot" w:pos="9463"/>
            </w:tabs>
            <w:rPr>
              <w:rFonts w:asciiTheme="minorHAnsi" w:eastAsiaTheme="minorEastAsia" w:hAnsiTheme="minorHAnsi" w:cstheme="minorBidi"/>
              <w:noProof/>
              <w:kern w:val="2"/>
              <w:sz w:val="24"/>
              <w:szCs w:val="24"/>
              <w:lang w:eastAsia="en-AU"/>
              <w14:ligatures w14:val="standardContextual"/>
            </w:rPr>
          </w:pPr>
          <w:hyperlink w:anchor="_Toc183183457" w:history="1">
            <w:r w:rsidRPr="00EF3AE4">
              <w:rPr>
                <w:rStyle w:val="Hyperlink"/>
                <w:noProof/>
              </w:rPr>
              <w:t>Focus Area 3 – Research and Advocacy</w:t>
            </w:r>
            <w:r>
              <w:rPr>
                <w:noProof/>
                <w:webHidden/>
              </w:rPr>
              <w:tab/>
            </w:r>
            <w:r>
              <w:rPr>
                <w:noProof/>
                <w:webHidden/>
              </w:rPr>
              <w:fldChar w:fldCharType="begin"/>
            </w:r>
            <w:r>
              <w:rPr>
                <w:noProof/>
                <w:webHidden/>
              </w:rPr>
              <w:instrText xml:space="preserve"> PAGEREF _Toc183183457 \h </w:instrText>
            </w:r>
            <w:r>
              <w:rPr>
                <w:noProof/>
                <w:webHidden/>
              </w:rPr>
            </w:r>
            <w:r>
              <w:rPr>
                <w:noProof/>
                <w:webHidden/>
              </w:rPr>
              <w:fldChar w:fldCharType="separate"/>
            </w:r>
            <w:r>
              <w:rPr>
                <w:noProof/>
                <w:webHidden/>
              </w:rPr>
              <w:t>18</w:t>
            </w:r>
            <w:r>
              <w:rPr>
                <w:noProof/>
                <w:webHidden/>
              </w:rPr>
              <w:fldChar w:fldCharType="end"/>
            </w:r>
          </w:hyperlink>
        </w:p>
        <w:p w14:paraId="7B69A16E" w14:textId="1ABDEF51" w:rsidR="007C56F0" w:rsidRDefault="007C56F0">
          <w:pPr>
            <w:pStyle w:val="TOC2"/>
            <w:tabs>
              <w:tab w:val="right" w:leader="dot" w:pos="9463"/>
            </w:tabs>
            <w:rPr>
              <w:rFonts w:asciiTheme="minorHAnsi" w:eastAsiaTheme="minorEastAsia" w:hAnsiTheme="minorHAnsi" w:cstheme="minorBidi"/>
              <w:noProof/>
              <w:kern w:val="2"/>
              <w:sz w:val="24"/>
              <w:szCs w:val="24"/>
              <w:lang w:eastAsia="en-AU"/>
              <w14:ligatures w14:val="standardContextual"/>
            </w:rPr>
          </w:pPr>
          <w:hyperlink w:anchor="_Toc183183458" w:history="1">
            <w:r w:rsidRPr="00EF3AE4">
              <w:rPr>
                <w:rStyle w:val="Hyperlink"/>
                <w:noProof/>
              </w:rPr>
              <w:t>Focus Area 4 - Support service coordination, information provision and advocacy for people who are experiencing or at risk of homelessness.</w:t>
            </w:r>
            <w:r>
              <w:rPr>
                <w:noProof/>
                <w:webHidden/>
              </w:rPr>
              <w:tab/>
            </w:r>
            <w:r>
              <w:rPr>
                <w:noProof/>
                <w:webHidden/>
              </w:rPr>
              <w:fldChar w:fldCharType="begin"/>
            </w:r>
            <w:r>
              <w:rPr>
                <w:noProof/>
                <w:webHidden/>
              </w:rPr>
              <w:instrText xml:space="preserve"> PAGEREF _Toc183183458 \h </w:instrText>
            </w:r>
            <w:r>
              <w:rPr>
                <w:noProof/>
                <w:webHidden/>
              </w:rPr>
            </w:r>
            <w:r>
              <w:rPr>
                <w:noProof/>
                <w:webHidden/>
              </w:rPr>
              <w:fldChar w:fldCharType="separate"/>
            </w:r>
            <w:r>
              <w:rPr>
                <w:noProof/>
                <w:webHidden/>
              </w:rPr>
              <w:t>21</w:t>
            </w:r>
            <w:r>
              <w:rPr>
                <w:noProof/>
                <w:webHidden/>
              </w:rPr>
              <w:fldChar w:fldCharType="end"/>
            </w:r>
          </w:hyperlink>
        </w:p>
        <w:p w14:paraId="1E62F2F2" w14:textId="788BB992" w:rsidR="007C56F0" w:rsidRDefault="007C56F0">
          <w:pPr>
            <w:pStyle w:val="TOC1"/>
            <w:tabs>
              <w:tab w:val="right" w:leader="dot" w:pos="9463"/>
            </w:tabs>
            <w:rPr>
              <w:rFonts w:asciiTheme="minorHAnsi" w:eastAsiaTheme="minorEastAsia" w:hAnsiTheme="minorHAnsi" w:cstheme="minorBidi"/>
              <w:noProof/>
              <w:kern w:val="2"/>
              <w:sz w:val="24"/>
              <w:szCs w:val="24"/>
              <w:lang w:eastAsia="en-AU"/>
              <w14:ligatures w14:val="standardContextual"/>
            </w:rPr>
          </w:pPr>
          <w:hyperlink w:anchor="_Toc183183459" w:history="1">
            <w:r w:rsidRPr="00EF3AE4">
              <w:rPr>
                <w:rStyle w:val="Hyperlink"/>
                <w:noProof/>
              </w:rPr>
              <w:t>7. Monitoring, Evaluating and Review</w:t>
            </w:r>
            <w:r>
              <w:rPr>
                <w:noProof/>
                <w:webHidden/>
              </w:rPr>
              <w:tab/>
            </w:r>
            <w:r>
              <w:rPr>
                <w:noProof/>
                <w:webHidden/>
              </w:rPr>
              <w:fldChar w:fldCharType="begin"/>
            </w:r>
            <w:r>
              <w:rPr>
                <w:noProof/>
                <w:webHidden/>
              </w:rPr>
              <w:instrText xml:space="preserve"> PAGEREF _Toc183183459 \h </w:instrText>
            </w:r>
            <w:r>
              <w:rPr>
                <w:noProof/>
                <w:webHidden/>
              </w:rPr>
            </w:r>
            <w:r>
              <w:rPr>
                <w:noProof/>
                <w:webHidden/>
              </w:rPr>
              <w:fldChar w:fldCharType="separate"/>
            </w:r>
            <w:r>
              <w:rPr>
                <w:noProof/>
                <w:webHidden/>
              </w:rPr>
              <w:t>23</w:t>
            </w:r>
            <w:r>
              <w:rPr>
                <w:noProof/>
                <w:webHidden/>
              </w:rPr>
              <w:fldChar w:fldCharType="end"/>
            </w:r>
          </w:hyperlink>
        </w:p>
        <w:p w14:paraId="41609C23" w14:textId="550EFCAA" w:rsidR="00B310C0" w:rsidRPr="00CA2AA2" w:rsidRDefault="00B310C0">
          <w:pPr>
            <w:rPr>
              <w:b/>
              <w:bCs/>
              <w:noProof/>
            </w:rPr>
          </w:pPr>
          <w:r>
            <w:rPr>
              <w:b/>
              <w:bCs/>
              <w:noProof/>
            </w:rPr>
            <w:fldChar w:fldCharType="end"/>
          </w:r>
        </w:p>
      </w:sdtContent>
    </w:sdt>
    <w:p w14:paraId="4E1B3CF2" w14:textId="77777777" w:rsidR="00C547B1" w:rsidRDefault="00C547B1">
      <w:pPr>
        <w:suppressAutoHyphens w:val="0"/>
      </w:pPr>
    </w:p>
    <w:tbl>
      <w:tblPr>
        <w:tblStyle w:val="TableGrid"/>
        <w:tblW w:w="0" w:type="auto"/>
        <w:tblLook w:val="04A0" w:firstRow="1" w:lastRow="0" w:firstColumn="1" w:lastColumn="0" w:noHBand="0" w:noVBand="1"/>
      </w:tblPr>
      <w:tblGrid>
        <w:gridCol w:w="9463"/>
      </w:tblGrid>
      <w:tr w:rsidR="00206892" w14:paraId="1D70DDB9" w14:textId="77777777" w:rsidTr="0095152E">
        <w:tc>
          <w:tcPr>
            <w:tcW w:w="9463" w:type="dxa"/>
            <w:shd w:val="clear" w:color="auto" w:fill="F2F2F2" w:themeFill="background1" w:themeFillShade="F2"/>
          </w:tcPr>
          <w:p w14:paraId="758AE385" w14:textId="77777777" w:rsidR="00206892" w:rsidRDefault="00206892" w:rsidP="00206892">
            <w:pPr>
              <w:suppressAutoHyphens w:val="0"/>
            </w:pPr>
            <w:r>
              <w:t>Note:</w:t>
            </w:r>
          </w:p>
          <w:p w14:paraId="6C476E95" w14:textId="0A362C55" w:rsidR="00206892" w:rsidRDefault="00206892" w:rsidP="00206892">
            <w:pPr>
              <w:suppressAutoHyphens w:val="0"/>
            </w:pPr>
            <w:r>
              <w:t>Further to the adoption by Council in March 202</w:t>
            </w:r>
            <w:r w:rsidR="006F28CF">
              <w:t>4</w:t>
            </w:r>
            <w:r>
              <w:t xml:space="preserve"> of the </w:t>
            </w:r>
            <w:r w:rsidRPr="00206892">
              <w:rPr>
                <w:i/>
                <w:iCs/>
              </w:rPr>
              <w:t>Merri-bek Homelessness Strategy</w:t>
            </w:r>
            <w:r>
              <w:t xml:space="preserve"> and </w:t>
            </w:r>
            <w:r w:rsidRPr="00206892">
              <w:rPr>
                <w:i/>
                <w:iCs/>
              </w:rPr>
              <w:t>Action Plan</w:t>
            </w:r>
            <w:r>
              <w:t>:</w:t>
            </w:r>
          </w:p>
          <w:p w14:paraId="426C89CA" w14:textId="77777777" w:rsidR="009708F5" w:rsidRDefault="00206892" w:rsidP="00206892">
            <w:pPr>
              <w:pStyle w:val="ListParagraph"/>
              <w:numPr>
                <w:ilvl w:val="0"/>
                <w:numId w:val="32"/>
              </w:numPr>
              <w:suppressAutoHyphens w:val="0"/>
            </w:pPr>
            <w:r>
              <w:t xml:space="preserve">Actions 2.2 and 2.3 are amended to include consideration of the types of </w:t>
            </w:r>
          </w:p>
          <w:p w14:paraId="0B6A4158" w14:textId="3FA1EF77" w:rsidR="00206892" w:rsidRDefault="00206892" w:rsidP="009708F5">
            <w:pPr>
              <w:pStyle w:val="ListParagraph"/>
              <w:suppressAutoHyphens w:val="0"/>
            </w:pPr>
            <w:r>
              <w:t>accommodation and housing that specifically respond to homelessness</w:t>
            </w:r>
          </w:p>
          <w:p w14:paraId="36B45808" w14:textId="77777777" w:rsidR="009708F5" w:rsidRDefault="00206892" w:rsidP="00206892">
            <w:pPr>
              <w:pStyle w:val="ListParagraph"/>
              <w:numPr>
                <w:ilvl w:val="0"/>
                <w:numId w:val="32"/>
              </w:numPr>
              <w:suppressAutoHyphens w:val="0"/>
            </w:pPr>
            <w:r>
              <w:t xml:space="preserve">Actions under Focus Area 4 </w:t>
            </w:r>
            <w:r w:rsidR="00180052">
              <w:t xml:space="preserve">are </w:t>
            </w:r>
            <w:r>
              <w:t xml:space="preserve">to be progressed and reported on through the </w:t>
            </w:r>
          </w:p>
          <w:p w14:paraId="06598026" w14:textId="51A15E88" w:rsidR="00206892" w:rsidRDefault="00206892" w:rsidP="009708F5">
            <w:pPr>
              <w:pStyle w:val="ListParagraph"/>
              <w:suppressAutoHyphens w:val="0"/>
            </w:pPr>
            <w:r>
              <w:t>Homelessness Strategy.</w:t>
            </w:r>
          </w:p>
          <w:p w14:paraId="36094A37" w14:textId="77777777" w:rsidR="00206892" w:rsidRDefault="00206892">
            <w:pPr>
              <w:suppressAutoHyphens w:val="0"/>
            </w:pPr>
          </w:p>
        </w:tc>
      </w:tr>
    </w:tbl>
    <w:p w14:paraId="7C953966" w14:textId="50BC7F48" w:rsidR="00C547B1" w:rsidRDefault="00C547B1">
      <w:pPr>
        <w:suppressAutoHyphens w:val="0"/>
      </w:pPr>
    </w:p>
    <w:p w14:paraId="622A61A4" w14:textId="0EF0A9BF" w:rsidR="00C60CCC" w:rsidRDefault="00C60CCC">
      <w:pPr>
        <w:suppressAutoHyphens w:val="0"/>
      </w:pPr>
    </w:p>
    <w:p w14:paraId="41ACBDB5" w14:textId="1AF6A0DF" w:rsidR="00C60CCC" w:rsidRDefault="00C60CCC">
      <w:pPr>
        <w:suppressAutoHyphens w:val="0"/>
      </w:pPr>
    </w:p>
    <w:p w14:paraId="7FA195BB" w14:textId="77777777" w:rsidR="00C60CCC" w:rsidRPr="0037139B" w:rsidRDefault="00C60CCC" w:rsidP="00C60CCC"/>
    <w:p w14:paraId="74FA141A" w14:textId="77777777" w:rsidR="00C60CCC" w:rsidRPr="006A05D7" w:rsidRDefault="00C60CCC" w:rsidP="00C60CCC"/>
    <w:p w14:paraId="38E21C50" w14:textId="77777777" w:rsidR="00C60CCC" w:rsidRPr="00AE743E" w:rsidRDefault="00C60CCC" w:rsidP="00C60CCC">
      <w:pPr>
        <w:pStyle w:val="Introduction"/>
        <w:spacing w:before="0" w:beforeAutospacing="0" w:after="0" w:afterAutospacing="0"/>
        <w:jc w:val="center"/>
        <w:rPr>
          <w:rFonts w:ascii="Nunito Sans SemiBold" w:hAnsi="Nunito Sans SemiBold"/>
          <w:b w:val="0"/>
          <w:bCs/>
          <w:color w:val="auto"/>
        </w:rPr>
      </w:pPr>
      <w:r w:rsidRPr="00AE743E">
        <w:rPr>
          <w:rFonts w:ascii="Nunito Sans SemiBold" w:hAnsi="Nunito Sans SemiBold"/>
          <w:b w:val="0"/>
          <w:bCs/>
          <w:color w:val="auto"/>
        </w:rPr>
        <w:t>ACKNOWLEDGEMENT OF COUNTRY</w:t>
      </w:r>
    </w:p>
    <w:p w14:paraId="6E8452CA" w14:textId="76F90AB8" w:rsidR="00B310C0" w:rsidRPr="00AE743E" w:rsidRDefault="00C60CCC" w:rsidP="00AE743E">
      <w:pPr>
        <w:pStyle w:val="Introduction"/>
        <w:spacing w:before="120" w:beforeAutospacing="0" w:after="0" w:afterAutospacing="0"/>
        <w:jc w:val="center"/>
        <w:rPr>
          <w:rFonts w:ascii="Nunito Sans SemiBold" w:hAnsi="Nunito Sans SemiBold"/>
          <w:bCs/>
          <w:color w:val="auto"/>
        </w:rPr>
      </w:pPr>
      <w:r w:rsidRPr="00AE743E">
        <w:rPr>
          <w:rFonts w:ascii="Nunito Sans SemiBold" w:hAnsi="Nunito Sans SemiBold"/>
          <w:b w:val="0"/>
          <w:bCs/>
          <w:color w:val="auto"/>
        </w:rPr>
        <w:t>Merri-bek City Council acknowledges the Wurundjeri Woi-wurrung people as the Traditional Custodians of the lands and waterways in the area now known as Merri-bek. We pay respect to their Elders past and present as well as to all First Nations communities who significantly contribute to the life of the area.</w:t>
      </w:r>
      <w:r w:rsidRPr="00AE743E">
        <w:rPr>
          <w:rFonts w:ascii="Nunito Sans SemiBold" w:hAnsi="Nunito Sans SemiBold"/>
          <w:b w:val="0"/>
          <w:bCs/>
          <w:color w:val="auto"/>
        </w:rPr>
        <w:br w:type="page"/>
      </w:r>
    </w:p>
    <w:p w14:paraId="64D56B66" w14:textId="62A4FCD5" w:rsidR="00B71E44" w:rsidRDefault="00C87C53" w:rsidP="003C5FB5">
      <w:pPr>
        <w:pStyle w:val="Heading1"/>
        <w:numPr>
          <w:ilvl w:val="0"/>
          <w:numId w:val="3"/>
        </w:numPr>
      </w:pPr>
      <w:bookmarkStart w:id="0" w:name="_Toc183183449"/>
      <w:r>
        <w:lastRenderedPageBreak/>
        <w:t>Introduction</w:t>
      </w:r>
      <w:bookmarkEnd w:id="0"/>
    </w:p>
    <w:p w14:paraId="4B004A84" w14:textId="2EC6A945" w:rsidR="00D24C0D" w:rsidRDefault="00B54DE0">
      <w:pPr>
        <w:rPr>
          <w:bCs/>
        </w:rPr>
      </w:pPr>
      <w:r w:rsidRPr="00AC413E">
        <w:rPr>
          <w:bCs/>
        </w:rPr>
        <w:t>The Affordable Housing Action Pla</w:t>
      </w:r>
      <w:r w:rsidR="00D24C0D">
        <w:rPr>
          <w:bCs/>
        </w:rPr>
        <w:t>n</w:t>
      </w:r>
      <w:r w:rsidRPr="00AC413E">
        <w:rPr>
          <w:bCs/>
        </w:rPr>
        <w:t xml:space="preserve"> outlines Council’s work to increase the supply of affordable homes in </w:t>
      </w:r>
      <w:r w:rsidR="00CF47DF">
        <w:rPr>
          <w:bCs/>
        </w:rPr>
        <w:t>Merri-bek</w:t>
      </w:r>
      <w:r w:rsidRPr="00AC413E">
        <w:rPr>
          <w:bCs/>
        </w:rPr>
        <w:t>. The Action Plan consider</w:t>
      </w:r>
      <w:r w:rsidR="00231B9B">
        <w:rPr>
          <w:bCs/>
        </w:rPr>
        <w:t>s</w:t>
      </w:r>
      <w:r w:rsidRPr="00AC413E">
        <w:rPr>
          <w:bCs/>
        </w:rPr>
        <w:t xml:space="preserve"> current organisational and external policy settings, improved practice</w:t>
      </w:r>
      <w:r w:rsidR="00872E2B">
        <w:rPr>
          <w:bCs/>
        </w:rPr>
        <w:t xml:space="preserve">, </w:t>
      </w:r>
      <w:r w:rsidRPr="00AC413E">
        <w:rPr>
          <w:bCs/>
        </w:rPr>
        <w:t>the views of key stakeholders and M</w:t>
      </w:r>
      <w:r w:rsidR="00CF47DF">
        <w:rPr>
          <w:bCs/>
        </w:rPr>
        <w:t>erri-bek’s</w:t>
      </w:r>
      <w:r w:rsidRPr="00AC413E">
        <w:rPr>
          <w:bCs/>
        </w:rPr>
        <w:t xml:space="preserve"> communities.</w:t>
      </w:r>
    </w:p>
    <w:p w14:paraId="30788C37" w14:textId="5C0C2852" w:rsidR="00B54DE0" w:rsidRPr="000F5A24" w:rsidRDefault="00B54DE0" w:rsidP="00B54DE0">
      <w:pPr>
        <w:rPr>
          <w:bCs/>
        </w:rPr>
      </w:pPr>
      <w:r w:rsidRPr="00C2785B">
        <w:rPr>
          <w:bCs/>
        </w:rPr>
        <w:t>The objective of the A</w:t>
      </w:r>
      <w:r w:rsidR="00D24C0D">
        <w:rPr>
          <w:bCs/>
        </w:rPr>
        <w:t xml:space="preserve">ffordable </w:t>
      </w:r>
      <w:r w:rsidRPr="00C2785B">
        <w:rPr>
          <w:bCs/>
        </w:rPr>
        <w:t>H</w:t>
      </w:r>
      <w:r w:rsidR="00D24C0D">
        <w:rPr>
          <w:bCs/>
        </w:rPr>
        <w:t xml:space="preserve">ousing </w:t>
      </w:r>
      <w:r w:rsidRPr="00C2785B">
        <w:rPr>
          <w:bCs/>
        </w:rPr>
        <w:t>A</w:t>
      </w:r>
      <w:r w:rsidR="00D24C0D">
        <w:rPr>
          <w:bCs/>
        </w:rPr>
        <w:t xml:space="preserve">ction </w:t>
      </w:r>
      <w:r w:rsidRPr="00683C65">
        <w:rPr>
          <w:bCs/>
        </w:rPr>
        <w:t>P</w:t>
      </w:r>
      <w:r w:rsidR="00D24C0D" w:rsidRPr="00683C65">
        <w:rPr>
          <w:bCs/>
        </w:rPr>
        <w:t>lan</w:t>
      </w:r>
      <w:r w:rsidRPr="00683C65">
        <w:rPr>
          <w:bCs/>
        </w:rPr>
        <w:t xml:space="preserve"> is to </w:t>
      </w:r>
      <w:r w:rsidR="00683C65" w:rsidRPr="00683C65">
        <w:rPr>
          <w:bCs/>
        </w:rPr>
        <w:t>i</w:t>
      </w:r>
      <w:r w:rsidRPr="00AE743E">
        <w:rPr>
          <w:bCs/>
        </w:rPr>
        <w:t>ncrease the provision of affordable</w:t>
      </w:r>
      <w:r w:rsidR="002D18C5" w:rsidRPr="00AE743E">
        <w:rPr>
          <w:bCs/>
        </w:rPr>
        <w:t xml:space="preserve"> housing </w:t>
      </w:r>
      <w:r w:rsidRPr="00AE743E">
        <w:rPr>
          <w:bCs/>
        </w:rPr>
        <w:t>in M</w:t>
      </w:r>
      <w:r w:rsidR="00A74150" w:rsidRPr="00AE743E">
        <w:rPr>
          <w:bCs/>
        </w:rPr>
        <w:t>erri-bek</w:t>
      </w:r>
      <w:r w:rsidRPr="00AE743E">
        <w:rPr>
          <w:bCs/>
        </w:rPr>
        <w:t xml:space="preserve"> through policy, advocacy, applied skills and investment</w:t>
      </w:r>
      <w:r w:rsidRPr="00683C65">
        <w:rPr>
          <w:bCs/>
        </w:rPr>
        <w:t>.</w:t>
      </w:r>
      <w:r w:rsidRPr="000F5A24">
        <w:rPr>
          <w:bCs/>
        </w:rPr>
        <w:t xml:space="preserve"> To achieve this objective the </w:t>
      </w:r>
      <w:r w:rsidR="00D24C0D">
        <w:rPr>
          <w:bCs/>
        </w:rPr>
        <w:t xml:space="preserve"> Action Plan </w:t>
      </w:r>
      <w:r w:rsidRPr="000F5A24">
        <w:rPr>
          <w:bCs/>
        </w:rPr>
        <w:t>has four focus areas:</w:t>
      </w:r>
    </w:p>
    <w:p w14:paraId="1BA7F9AB" w14:textId="77777777" w:rsidR="00B54DE0" w:rsidRDefault="00B54DE0" w:rsidP="00B54DE0">
      <w:pPr>
        <w:pStyle w:val="ListParagraph"/>
        <w:numPr>
          <w:ilvl w:val="0"/>
          <w:numId w:val="7"/>
        </w:numPr>
        <w:suppressAutoHyphens w:val="0"/>
        <w:autoSpaceDN/>
        <w:spacing w:line="259" w:lineRule="auto"/>
        <w:contextualSpacing/>
        <w:textAlignment w:val="auto"/>
        <w:rPr>
          <w:bCs/>
        </w:rPr>
      </w:pPr>
      <w:r w:rsidRPr="000F5A24">
        <w:rPr>
          <w:bCs/>
        </w:rPr>
        <w:t>Facilitate</w:t>
      </w:r>
      <w:r>
        <w:rPr>
          <w:bCs/>
        </w:rPr>
        <w:t xml:space="preserve"> the supply of the affordable housing in new developments</w:t>
      </w:r>
    </w:p>
    <w:p w14:paraId="1621C6E0" w14:textId="5973ABA0" w:rsidR="00B54DE0" w:rsidRDefault="008A3A7C" w:rsidP="00B54DE0">
      <w:pPr>
        <w:pStyle w:val="ListParagraph"/>
        <w:numPr>
          <w:ilvl w:val="0"/>
          <w:numId w:val="7"/>
        </w:numPr>
        <w:suppressAutoHyphens w:val="0"/>
        <w:autoSpaceDN/>
        <w:spacing w:line="259" w:lineRule="auto"/>
        <w:contextualSpacing/>
        <w:textAlignment w:val="auto"/>
        <w:rPr>
          <w:bCs/>
        </w:rPr>
      </w:pPr>
      <w:r>
        <w:rPr>
          <w:bCs/>
        </w:rPr>
        <w:t>Partner</w:t>
      </w:r>
      <w:r w:rsidR="002D18C5">
        <w:rPr>
          <w:bCs/>
        </w:rPr>
        <w:t>ships</w:t>
      </w:r>
      <w:r>
        <w:rPr>
          <w:bCs/>
        </w:rPr>
        <w:t xml:space="preserve"> to d</w:t>
      </w:r>
      <w:r w:rsidR="00B54DE0">
        <w:rPr>
          <w:bCs/>
        </w:rPr>
        <w:t>evelop affordable housing</w:t>
      </w:r>
      <w:r w:rsidR="002D18C5">
        <w:rPr>
          <w:bCs/>
        </w:rPr>
        <w:t xml:space="preserve">, </w:t>
      </w:r>
      <w:r w:rsidR="00EB7680">
        <w:rPr>
          <w:bCs/>
        </w:rPr>
        <w:t>particularly</w:t>
      </w:r>
      <w:r w:rsidR="00B54DE0">
        <w:rPr>
          <w:bCs/>
        </w:rPr>
        <w:t xml:space="preserve"> on council land </w:t>
      </w:r>
    </w:p>
    <w:p w14:paraId="4CC861EC" w14:textId="4E0F20AE" w:rsidR="00507112" w:rsidRDefault="00B54DE0" w:rsidP="00B54DE0">
      <w:pPr>
        <w:pStyle w:val="ListParagraph"/>
        <w:numPr>
          <w:ilvl w:val="0"/>
          <w:numId w:val="7"/>
        </w:numPr>
        <w:suppressAutoHyphens w:val="0"/>
        <w:autoSpaceDN/>
        <w:spacing w:line="259" w:lineRule="auto"/>
        <w:contextualSpacing/>
        <w:textAlignment w:val="auto"/>
        <w:rPr>
          <w:bCs/>
        </w:rPr>
      </w:pPr>
      <w:r>
        <w:rPr>
          <w:bCs/>
        </w:rPr>
        <w:t>Research and advocacy for increased investment</w:t>
      </w:r>
      <w:r w:rsidR="00347C87">
        <w:rPr>
          <w:bCs/>
        </w:rPr>
        <w:t xml:space="preserve"> </w:t>
      </w:r>
    </w:p>
    <w:p w14:paraId="0F119472" w14:textId="458C1129" w:rsidR="00B54DE0" w:rsidRDefault="00B54DE0" w:rsidP="00FF569F">
      <w:pPr>
        <w:pStyle w:val="ListParagraph"/>
        <w:numPr>
          <w:ilvl w:val="0"/>
          <w:numId w:val="7"/>
        </w:numPr>
        <w:suppressAutoHyphens w:val="0"/>
        <w:autoSpaceDN/>
        <w:spacing w:line="259" w:lineRule="auto"/>
        <w:contextualSpacing/>
        <w:textAlignment w:val="auto"/>
      </w:pPr>
      <w:r w:rsidRPr="00347C87">
        <w:rPr>
          <w:bCs/>
        </w:rPr>
        <w:t xml:space="preserve">Support </w:t>
      </w:r>
      <w:r w:rsidR="00347C87">
        <w:rPr>
          <w:bCs/>
        </w:rPr>
        <w:t>service coordination</w:t>
      </w:r>
      <w:r w:rsidR="00C70177">
        <w:rPr>
          <w:bCs/>
        </w:rPr>
        <w:t>, information provision and advocacy</w:t>
      </w:r>
      <w:r w:rsidR="00347C87">
        <w:rPr>
          <w:bCs/>
        </w:rPr>
        <w:t xml:space="preserve"> for </w:t>
      </w:r>
      <w:r w:rsidRPr="00347C87">
        <w:rPr>
          <w:bCs/>
        </w:rPr>
        <w:t xml:space="preserve">people who are </w:t>
      </w:r>
      <w:r w:rsidR="008A3A7C">
        <w:rPr>
          <w:bCs/>
        </w:rPr>
        <w:t>experiencing</w:t>
      </w:r>
      <w:r w:rsidR="00683C65">
        <w:rPr>
          <w:bCs/>
        </w:rPr>
        <w:t>,</w:t>
      </w:r>
      <w:r w:rsidRPr="00347C87">
        <w:rPr>
          <w:bCs/>
        </w:rPr>
        <w:t xml:space="preserve"> </w:t>
      </w:r>
      <w:r w:rsidR="00683C65">
        <w:rPr>
          <w:bCs/>
        </w:rPr>
        <w:t>or at risk of, homelessness.</w:t>
      </w:r>
    </w:p>
    <w:p w14:paraId="55C58241" w14:textId="77777777" w:rsidR="00B71E44" w:rsidRDefault="00C87C53">
      <w:pPr>
        <w:pStyle w:val="Heading1"/>
        <w:numPr>
          <w:ilvl w:val="0"/>
          <w:numId w:val="3"/>
        </w:numPr>
      </w:pPr>
      <w:bookmarkStart w:id="1" w:name="_Toc183183450"/>
      <w:r>
        <w:t>Context</w:t>
      </w:r>
      <w:bookmarkEnd w:id="1"/>
    </w:p>
    <w:p w14:paraId="0F76023F" w14:textId="00CBB511" w:rsidR="00B54DE0" w:rsidRPr="006068AF" w:rsidRDefault="00B54DE0" w:rsidP="00B54DE0">
      <w:pPr>
        <w:rPr>
          <w:b/>
          <w:bCs/>
          <w:i/>
          <w:iCs/>
        </w:rPr>
      </w:pPr>
      <w:r w:rsidRPr="006068AF">
        <w:rPr>
          <w:b/>
          <w:bCs/>
          <w:i/>
          <w:iCs/>
        </w:rPr>
        <w:t>Defining Affordable Housing</w:t>
      </w:r>
    </w:p>
    <w:p w14:paraId="3D40DB5E" w14:textId="297B2B49" w:rsidR="00B54DE0" w:rsidRPr="00AC413E" w:rsidRDefault="00B54DE0" w:rsidP="00B54DE0">
      <w:r w:rsidRPr="00AC413E">
        <w:t xml:space="preserve">The </w:t>
      </w:r>
      <w:r w:rsidRPr="00AC413E">
        <w:rPr>
          <w:i/>
          <w:iCs/>
        </w:rPr>
        <w:t xml:space="preserve">Victorian Planning and Environment Act </w:t>
      </w:r>
      <w:r w:rsidR="0070107F">
        <w:rPr>
          <w:i/>
          <w:iCs/>
        </w:rPr>
        <w:t xml:space="preserve">(VIC) </w:t>
      </w:r>
      <w:r w:rsidRPr="00AC413E">
        <w:rPr>
          <w:i/>
          <w:iCs/>
        </w:rPr>
        <w:t>1987</w:t>
      </w:r>
      <w:r w:rsidRPr="00AC413E">
        <w:t xml:space="preserve"> defines affordable housing as housing that is appropriate to the needs of very </w:t>
      </w:r>
      <w:r w:rsidR="00F027BC" w:rsidRPr="00AC413E">
        <w:t>low-, low- and moderate-income</w:t>
      </w:r>
      <w:r w:rsidRPr="00AC413E">
        <w:t xml:space="preserve"> households. An annually updated Governor in Council order sets the income thresholds for affordable housing. The supporting Ministerial Notice lists principles that must be considered, including</w:t>
      </w:r>
      <w:r>
        <w:t>:</w:t>
      </w:r>
    </w:p>
    <w:p w14:paraId="7C2C6CA0" w14:textId="77777777" w:rsidR="00B54DE0" w:rsidRPr="00AC413E" w:rsidRDefault="00B54DE0" w:rsidP="00B54DE0">
      <w:pPr>
        <w:numPr>
          <w:ilvl w:val="0"/>
          <w:numId w:val="8"/>
        </w:numPr>
        <w:suppressAutoHyphens w:val="0"/>
        <w:autoSpaceDN/>
        <w:spacing w:line="259" w:lineRule="auto"/>
        <w:textAlignment w:val="auto"/>
      </w:pPr>
      <w:r w:rsidRPr="00AC413E">
        <w:t xml:space="preserve">allocation (affordable housing to be allocated to eligible households), </w:t>
      </w:r>
    </w:p>
    <w:p w14:paraId="4F504144" w14:textId="77777777" w:rsidR="00B54DE0" w:rsidRPr="00AC413E" w:rsidRDefault="00B54DE0" w:rsidP="00B54DE0">
      <w:pPr>
        <w:numPr>
          <w:ilvl w:val="0"/>
          <w:numId w:val="8"/>
        </w:numPr>
        <w:suppressAutoHyphens w:val="0"/>
        <w:autoSpaceDN/>
        <w:spacing w:line="259" w:lineRule="auto"/>
        <w:textAlignment w:val="auto"/>
      </w:pPr>
      <w:r w:rsidRPr="00AC413E">
        <w:t>affordability and longevity (the housing should be retained as affordable housing over time).</w:t>
      </w:r>
    </w:p>
    <w:p w14:paraId="54E4B361" w14:textId="189D79B8" w:rsidR="00B54DE0" w:rsidRDefault="00B54DE0" w:rsidP="00B54DE0">
      <w:r w:rsidRPr="00AC413E">
        <w:t>The most used measure of whether housing is considered affordable is the 30:40 indicator which identifies a household as being in housing affordability stress when it has an income level in the lower 40 per cent of Australia's income distribution and is paying more than 30 per cent of its income in housing costs. </w:t>
      </w:r>
    </w:p>
    <w:p w14:paraId="6C533D91" w14:textId="0E713425" w:rsidR="00E0570B" w:rsidRPr="00AC413E" w:rsidRDefault="00E0570B" w:rsidP="00B54DE0">
      <w:r>
        <w:t xml:space="preserve">Social housing is a distinct type of affordable housing which has specific eligibility requirements defined under the </w:t>
      </w:r>
      <w:r w:rsidRPr="00AE743E">
        <w:rPr>
          <w:i/>
          <w:iCs/>
        </w:rPr>
        <w:t>Housing Act (VIC) 1983</w:t>
      </w:r>
      <w:r>
        <w:t>. Social housing includes public housing which is owned and usually managed by the state government and community housing which is owned and/or managed by a</w:t>
      </w:r>
      <w:r w:rsidR="0075356C">
        <w:t xml:space="preserve"> registered housing </w:t>
      </w:r>
      <w:r w:rsidR="00F027BC">
        <w:t>agency</w:t>
      </w:r>
      <w:r w:rsidR="0075356C">
        <w:t>. Of the 46 registered housing agencies in Victoria, about one-third provide operate in Merri-bek.</w:t>
      </w:r>
    </w:p>
    <w:p w14:paraId="64C27CBC" w14:textId="77777777" w:rsidR="00B54DE0" w:rsidRPr="006068AF" w:rsidRDefault="00B54DE0" w:rsidP="00B54DE0">
      <w:pPr>
        <w:rPr>
          <w:b/>
          <w:bCs/>
          <w:i/>
          <w:iCs/>
        </w:rPr>
      </w:pPr>
      <w:r w:rsidRPr="006068AF">
        <w:rPr>
          <w:b/>
          <w:bCs/>
          <w:i/>
          <w:iCs/>
        </w:rPr>
        <w:t>Housing Continuum</w:t>
      </w:r>
    </w:p>
    <w:p w14:paraId="424D8EA0" w14:textId="3F3F24A6" w:rsidR="003C5FB5" w:rsidRDefault="00B54DE0" w:rsidP="003C5FB5">
      <w:pPr>
        <w:spacing w:after="120"/>
      </w:pPr>
      <w:r w:rsidRPr="00AB0222">
        <w:t xml:space="preserve">Affordable Housing is a term </w:t>
      </w:r>
      <w:r w:rsidR="00C30AD5">
        <w:t>that</w:t>
      </w:r>
      <w:r w:rsidRPr="00AB0222">
        <w:t xml:space="preserve"> covers a range of different housing situations</w:t>
      </w:r>
      <w:r>
        <w:t xml:space="preserve"> </w:t>
      </w:r>
      <w:r w:rsidR="008A5767">
        <w:t xml:space="preserve">which can </w:t>
      </w:r>
      <w:r>
        <w:t>v</w:t>
      </w:r>
      <w:r w:rsidRPr="00AB0222">
        <w:t>ar</w:t>
      </w:r>
      <w:r>
        <w:t>y over time</w:t>
      </w:r>
      <w:r w:rsidR="008A5767">
        <w:t xml:space="preserve"> and dependent on circumstances.</w:t>
      </w:r>
      <w:r>
        <w:t xml:space="preserve">  </w:t>
      </w:r>
      <w:r w:rsidR="0070107F">
        <w:t>Across</w:t>
      </w:r>
      <w:r w:rsidRPr="00D30059">
        <w:t xml:space="preserve"> the </w:t>
      </w:r>
      <w:r>
        <w:t>H</w:t>
      </w:r>
      <w:r w:rsidRPr="00D30059">
        <w:t xml:space="preserve">ousing </w:t>
      </w:r>
      <w:r>
        <w:t xml:space="preserve">Continuum </w:t>
      </w:r>
      <w:r w:rsidR="00F928AB">
        <w:t xml:space="preserve">there are </w:t>
      </w:r>
      <w:r w:rsidRPr="00D30059">
        <w:t>options</w:t>
      </w:r>
      <w:r w:rsidR="008A5767">
        <w:t xml:space="preserve"> to support</w:t>
      </w:r>
      <w:r w:rsidRPr="00D30059">
        <w:t xml:space="preserve"> many life situations such as young people leaving care, older people on fixed incomes in insecure rentals, women and children escaping </w:t>
      </w:r>
      <w:r>
        <w:t>f</w:t>
      </w:r>
      <w:r w:rsidRPr="00D30059">
        <w:t xml:space="preserve">amily </w:t>
      </w:r>
      <w:r>
        <w:t>v</w:t>
      </w:r>
      <w:r w:rsidRPr="00D30059">
        <w:t xml:space="preserve">iolence, for which affordable housing is required.  </w:t>
      </w:r>
      <w:r w:rsidR="007823F7">
        <w:t xml:space="preserve">These situations may affect a </w:t>
      </w:r>
      <w:r w:rsidR="00A10503">
        <w:t>person’s</w:t>
      </w:r>
      <w:r w:rsidR="007823F7">
        <w:t xml:space="preserve"> level of income and requirement for different kinds of temporary housing options such as emergency accommodation or transitional housing before moving into secure </w:t>
      </w:r>
      <w:r w:rsidR="004F4BAE">
        <w:t>long-term</w:t>
      </w:r>
      <w:r w:rsidR="007823F7">
        <w:t xml:space="preserve"> housing such as social housing, affordable rental or home </w:t>
      </w:r>
      <w:r w:rsidR="007823F7">
        <w:lastRenderedPageBreak/>
        <w:t xml:space="preserve">ownership.  </w:t>
      </w:r>
      <w:r w:rsidR="00622597" w:rsidRPr="004B7B9E">
        <w:t xml:space="preserve">Clearly the most urgent need is among those </w:t>
      </w:r>
      <w:r w:rsidR="007823F7" w:rsidRPr="004B7B9E">
        <w:t>at the</w:t>
      </w:r>
      <w:r w:rsidR="002D18C5">
        <w:t xml:space="preserve"> left-side</w:t>
      </w:r>
      <w:r w:rsidR="007823F7" w:rsidRPr="004B7B9E">
        <w:t xml:space="preserve"> of the </w:t>
      </w:r>
      <w:r w:rsidR="0070107F">
        <w:t>H</w:t>
      </w:r>
      <w:r w:rsidR="007823F7" w:rsidRPr="004B7B9E">
        <w:t xml:space="preserve">ousing </w:t>
      </w:r>
      <w:r w:rsidR="0070107F">
        <w:t>C</w:t>
      </w:r>
      <w:r w:rsidR="007823F7" w:rsidRPr="004B7B9E">
        <w:t xml:space="preserve">ontinuum experiencing or at risk of homelessness. However, if action is not taken across the whole continuum the scale of need at the </w:t>
      </w:r>
      <w:r w:rsidR="0070107F">
        <w:t>left</w:t>
      </w:r>
      <w:r w:rsidR="007823F7" w:rsidRPr="004B7B9E">
        <w:t xml:space="preserve"> of the </w:t>
      </w:r>
      <w:r w:rsidR="0070107F">
        <w:t>C</w:t>
      </w:r>
      <w:r w:rsidR="007823F7" w:rsidRPr="004B7B9E">
        <w:t>ontinuum will continue to escalate faster than delivery of social housing.</w:t>
      </w:r>
      <w:r w:rsidR="00622597">
        <w:rPr>
          <w:rStyle w:val="FootnoteReference"/>
        </w:rPr>
        <w:footnoteReference w:id="1"/>
      </w:r>
    </w:p>
    <w:p w14:paraId="2BC62027" w14:textId="30F36466" w:rsidR="003C5FB5" w:rsidRDefault="003C5FB5" w:rsidP="00477570">
      <w:r>
        <w:t xml:space="preserve">This Plan has actions which assist improved outcomes across the </w:t>
      </w:r>
      <w:r>
        <w:rPr>
          <w:i/>
          <w:iCs/>
        </w:rPr>
        <w:t>affordable housing</w:t>
      </w:r>
      <w:r>
        <w:t xml:space="preserve"> and </w:t>
      </w:r>
      <w:r>
        <w:rPr>
          <w:i/>
          <w:iCs/>
        </w:rPr>
        <w:t>supportive/social housing</w:t>
      </w:r>
      <w:r>
        <w:t xml:space="preserve"> parts of the Housing Continuum, shown in Figure 1. </w:t>
      </w:r>
    </w:p>
    <w:p w14:paraId="6EDF631A" w14:textId="76976976" w:rsidR="00713310" w:rsidRDefault="00402C8D" w:rsidP="00477570">
      <w:pPr>
        <w:keepNext/>
      </w:pPr>
      <w:r>
        <w:rPr>
          <w:noProof/>
        </w:rPr>
        <w:drawing>
          <wp:inline distT="0" distB="0" distL="0" distR="0" wp14:anchorId="29B5C144" wp14:editId="69DC17AD">
            <wp:extent cx="6015355" cy="1746250"/>
            <wp:effectExtent l="19050" t="19050" r="23495" b="25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15355" cy="1746250"/>
                    </a:xfrm>
                    <a:prstGeom prst="rect">
                      <a:avLst/>
                    </a:prstGeom>
                    <a:ln>
                      <a:solidFill>
                        <a:schemeClr val="tx1">
                          <a:lumMod val="50000"/>
                          <a:lumOff val="50000"/>
                        </a:schemeClr>
                      </a:solidFill>
                    </a:ln>
                  </pic:spPr>
                </pic:pic>
              </a:graphicData>
            </a:graphic>
          </wp:inline>
        </w:drawing>
      </w:r>
    </w:p>
    <w:p w14:paraId="08E7F61F" w14:textId="64474633" w:rsidR="003C5FB5" w:rsidRDefault="00713310" w:rsidP="00AE743E">
      <w:pPr>
        <w:pStyle w:val="Caption"/>
      </w:pPr>
      <w:r w:rsidRPr="00477570">
        <w:rPr>
          <w:b w:val="0"/>
          <w:bCs/>
          <w:sz w:val="18"/>
        </w:rPr>
        <w:t xml:space="preserve">Figure </w:t>
      </w:r>
      <w:r w:rsidRPr="00477570">
        <w:rPr>
          <w:bCs/>
          <w:iCs w:val="0"/>
          <w:sz w:val="18"/>
        </w:rPr>
        <w:fldChar w:fldCharType="begin"/>
      </w:r>
      <w:r w:rsidRPr="00477570">
        <w:rPr>
          <w:b w:val="0"/>
          <w:bCs/>
          <w:sz w:val="18"/>
        </w:rPr>
        <w:instrText xml:space="preserve"> SEQ Figure \* ARABIC </w:instrText>
      </w:r>
      <w:r w:rsidRPr="00477570">
        <w:rPr>
          <w:bCs/>
          <w:iCs w:val="0"/>
          <w:sz w:val="18"/>
        </w:rPr>
        <w:fldChar w:fldCharType="separate"/>
      </w:r>
      <w:r w:rsidR="001F22A3">
        <w:rPr>
          <w:b w:val="0"/>
          <w:bCs/>
          <w:noProof/>
          <w:sz w:val="18"/>
        </w:rPr>
        <w:t>1</w:t>
      </w:r>
      <w:r w:rsidRPr="00477570">
        <w:rPr>
          <w:bCs/>
          <w:iCs w:val="0"/>
          <w:sz w:val="18"/>
        </w:rPr>
        <w:fldChar w:fldCharType="end"/>
      </w:r>
      <w:r w:rsidRPr="00477570">
        <w:rPr>
          <w:b w:val="0"/>
          <w:bCs/>
          <w:sz w:val="18"/>
        </w:rPr>
        <w:t xml:space="preserve">  Housing Continuum and Housing Options</w:t>
      </w:r>
    </w:p>
    <w:p w14:paraId="437A6A0B" w14:textId="5F35D370" w:rsidR="00AB21EE" w:rsidRDefault="007E61BD" w:rsidP="007E5C33">
      <w:pPr>
        <w:pStyle w:val="Heading1"/>
        <w:numPr>
          <w:ilvl w:val="0"/>
          <w:numId w:val="3"/>
        </w:numPr>
      </w:pPr>
      <w:bookmarkStart w:id="2" w:name="_Toc183183451"/>
      <w:r>
        <w:t xml:space="preserve">Strategic Context and </w:t>
      </w:r>
      <w:r w:rsidR="00C87C53">
        <w:t>Alignment</w:t>
      </w:r>
      <w:bookmarkEnd w:id="2"/>
    </w:p>
    <w:p w14:paraId="06D7C82E" w14:textId="1DDDB8A8" w:rsidR="004731AF" w:rsidRDefault="004731AF" w:rsidP="00AB21EE">
      <w:pPr>
        <w:rPr>
          <w:b/>
          <w:bCs/>
          <w:i/>
          <w:iCs/>
        </w:rPr>
      </w:pPr>
      <w:r>
        <w:rPr>
          <w:b/>
          <w:bCs/>
          <w:i/>
          <w:iCs/>
        </w:rPr>
        <w:t xml:space="preserve">Community Vision </w:t>
      </w:r>
    </w:p>
    <w:p w14:paraId="0DA8E4ED" w14:textId="6212E147" w:rsidR="004731AF" w:rsidRPr="004731AF" w:rsidRDefault="004731AF" w:rsidP="00F85115">
      <w:pPr>
        <w:numPr>
          <w:ilvl w:val="0"/>
          <w:numId w:val="1"/>
        </w:numPr>
        <w:suppressAutoHyphens w:val="0"/>
        <w:autoSpaceDE w:val="0"/>
        <w:adjustRightInd w:val="0"/>
        <w:spacing w:after="0" w:line="240" w:lineRule="auto"/>
        <w:textAlignment w:val="auto"/>
      </w:pPr>
      <w:r w:rsidRPr="004731AF">
        <w:t>The Community Vision</w:t>
      </w:r>
      <w:r w:rsidR="002D18C5">
        <w:t xml:space="preserve"> </w:t>
      </w:r>
      <w:r w:rsidRPr="004731AF">
        <w:t xml:space="preserve">was developed by an Imagine Moreland Community Panel through deliberative engagement. The panel comprised 44 members of the local community </w:t>
      </w:r>
      <w:r>
        <w:t>that</w:t>
      </w:r>
      <w:r w:rsidRPr="004731AF">
        <w:t xml:space="preserve"> included diversity relating to household status (rental and home ownership) as well as educational attainment and income levels.</w:t>
      </w:r>
      <w:r w:rsidR="009A3883">
        <w:t xml:space="preserve"> The </w:t>
      </w:r>
      <w:r w:rsidR="00A74150">
        <w:t>C</w:t>
      </w:r>
      <w:r w:rsidR="009A3883">
        <w:t>ommunity Vision</w:t>
      </w:r>
      <w:r w:rsidR="00A74150">
        <w:t xml:space="preserve"> (finalised prior to the renaming of the municipality)</w:t>
      </w:r>
      <w:r w:rsidR="009A3883">
        <w:t xml:space="preserve"> is:</w:t>
      </w:r>
    </w:p>
    <w:p w14:paraId="7AEE5123" w14:textId="2507339F" w:rsidR="004731AF" w:rsidRPr="00F952FA" w:rsidRDefault="004731AF" w:rsidP="00F85115">
      <w:pPr>
        <w:suppressAutoHyphens w:val="0"/>
        <w:autoSpaceDE w:val="0"/>
        <w:adjustRightInd w:val="0"/>
        <w:spacing w:after="0" w:line="240" w:lineRule="auto"/>
        <w:ind w:left="576" w:right="542"/>
        <w:jc w:val="both"/>
        <w:textAlignment w:val="auto"/>
        <w:rPr>
          <w:i/>
          <w:iCs/>
        </w:rPr>
      </w:pPr>
      <w:r w:rsidRPr="00F952FA">
        <w:rPr>
          <w:i/>
          <w:iCs/>
        </w:rPr>
        <w:t>“Moreland is our home. We respect and look after our land, air, waterways and animals.</w:t>
      </w:r>
    </w:p>
    <w:p w14:paraId="23AB9B96" w14:textId="20542B89" w:rsidR="004731AF" w:rsidRPr="00F952FA" w:rsidRDefault="004731AF" w:rsidP="00F85115">
      <w:pPr>
        <w:suppressAutoHyphens w:val="0"/>
        <w:autoSpaceDE w:val="0"/>
        <w:adjustRightInd w:val="0"/>
        <w:spacing w:after="0" w:line="240" w:lineRule="auto"/>
        <w:ind w:left="576" w:right="542"/>
        <w:jc w:val="both"/>
        <w:textAlignment w:val="auto"/>
        <w:rPr>
          <w:i/>
          <w:iCs/>
        </w:rPr>
      </w:pPr>
      <w:r w:rsidRPr="00F952FA">
        <w:rPr>
          <w:i/>
          <w:iCs/>
        </w:rPr>
        <w:t>We care for our people and celebrate our diverse stories, cultures, and identities.</w:t>
      </w:r>
    </w:p>
    <w:p w14:paraId="3BBB13E2" w14:textId="03C481EA" w:rsidR="004731AF" w:rsidRPr="00F952FA" w:rsidRDefault="004731AF" w:rsidP="00F85115">
      <w:pPr>
        <w:suppressAutoHyphens w:val="0"/>
        <w:autoSpaceDE w:val="0"/>
        <w:adjustRightInd w:val="0"/>
        <w:spacing w:after="0" w:line="240" w:lineRule="auto"/>
        <w:ind w:left="576" w:right="542"/>
        <w:jc w:val="both"/>
        <w:textAlignment w:val="auto"/>
        <w:rPr>
          <w:i/>
          <w:iCs/>
        </w:rPr>
      </w:pPr>
      <w:r w:rsidRPr="00F952FA">
        <w:rPr>
          <w:i/>
          <w:iCs/>
        </w:rPr>
        <w:t>Moreland is enhanced by all of us supporting our local businesses, arts communities and social organisations. We work together proactively and transparently to continue to create a vibrant, safe, healthy, resilient, innovative, and regenerative community. Many faces, one Moreland.”</w:t>
      </w:r>
    </w:p>
    <w:p w14:paraId="24B8AA7A" w14:textId="77777777" w:rsidR="004731AF" w:rsidRPr="004731AF" w:rsidRDefault="004731AF" w:rsidP="00AE7841">
      <w:pPr>
        <w:numPr>
          <w:ilvl w:val="0"/>
          <w:numId w:val="1"/>
        </w:numPr>
        <w:suppressAutoHyphens w:val="0"/>
        <w:autoSpaceDE w:val="0"/>
        <w:adjustRightInd w:val="0"/>
        <w:spacing w:after="0" w:line="240" w:lineRule="auto"/>
        <w:textAlignment w:val="auto"/>
        <w:rPr>
          <w:b/>
          <w:bCs/>
          <w:i/>
          <w:iCs/>
        </w:rPr>
      </w:pPr>
    </w:p>
    <w:p w14:paraId="7A3C1FF9" w14:textId="26246013" w:rsidR="00AB21EE" w:rsidRPr="00CF49AF" w:rsidRDefault="00A74150" w:rsidP="00AB21EE">
      <w:pPr>
        <w:rPr>
          <w:b/>
          <w:bCs/>
          <w:i/>
          <w:iCs/>
        </w:rPr>
      </w:pPr>
      <w:r>
        <w:rPr>
          <w:b/>
          <w:bCs/>
          <w:i/>
          <w:iCs/>
        </w:rPr>
        <w:t xml:space="preserve">Council Plan 2021 – 2025 </w:t>
      </w:r>
      <w:r w:rsidR="00AB21EE" w:rsidRPr="00FF569F">
        <w:rPr>
          <w:b/>
          <w:bCs/>
          <w:i/>
          <w:iCs/>
        </w:rPr>
        <w:t xml:space="preserve"> </w:t>
      </w:r>
    </w:p>
    <w:p w14:paraId="6FA380ED" w14:textId="75EC06DB" w:rsidR="00AB21EE" w:rsidRPr="00FF569F" w:rsidRDefault="00F35421" w:rsidP="00AB21EE">
      <w:r>
        <w:t>The</w:t>
      </w:r>
      <w:r w:rsidR="00A42828" w:rsidRPr="00A42828">
        <w:t xml:space="preserve"> Council Plan has been integrated with the Municipal Public Health and Wellbeing Plan (MPHWP)</w:t>
      </w:r>
      <w:r>
        <w:t xml:space="preserve"> and</w:t>
      </w:r>
      <w:r w:rsidR="00A42828" w:rsidRPr="00A42828">
        <w:t xml:space="preserve"> is a key document which sets out Council’s and community’s vision for the future. </w:t>
      </w:r>
      <w:r w:rsidR="00A42828" w:rsidRPr="00FF569F">
        <w:t>The Affordable Housing Action Plan supports the delivery of the Council Plan through the following</w:t>
      </w:r>
      <w:r w:rsidR="00551761">
        <w:t xml:space="preserve"> themes and</w:t>
      </w:r>
      <w:r w:rsidR="00A42828" w:rsidRPr="00FF569F">
        <w:t xml:space="preserve"> strategies</w:t>
      </w:r>
      <w:r w:rsidR="00F952FA">
        <w:t>:</w:t>
      </w:r>
    </w:p>
    <w:p w14:paraId="6E95EC78" w14:textId="77777777" w:rsidR="00AB21EE" w:rsidRPr="00FF569F" w:rsidRDefault="00AB21EE" w:rsidP="00AB21EE">
      <w:pPr>
        <w:rPr>
          <w:b/>
          <w:bCs/>
        </w:rPr>
      </w:pPr>
      <w:r w:rsidRPr="00FF569F">
        <w:rPr>
          <w:b/>
          <w:bCs/>
        </w:rPr>
        <w:t>Theme 4: Vibrant spaces and places in Moreland</w:t>
      </w:r>
    </w:p>
    <w:p w14:paraId="089DB8D9" w14:textId="77777777" w:rsidR="00AB21EE" w:rsidRPr="00322B42" w:rsidRDefault="00AB21EE" w:rsidP="00AB21EE">
      <w:pPr>
        <w:pStyle w:val="ListParagraph"/>
        <w:numPr>
          <w:ilvl w:val="0"/>
          <w:numId w:val="20"/>
        </w:numPr>
      </w:pPr>
      <w:r w:rsidRPr="00CF49AF">
        <w:t>Strategy 4.7</w:t>
      </w:r>
      <w:r>
        <w:t>:</w:t>
      </w:r>
      <w:r w:rsidRPr="00CF49AF">
        <w:t xml:space="preserve"> </w:t>
      </w:r>
      <w:r>
        <w:t>T</w:t>
      </w:r>
      <w:r w:rsidRPr="00CF49AF">
        <w:t xml:space="preserve">o increase local affordable housing outcomes by continuing to support the activities of Moreland Affordable Housing Ltd, advocating for and facilitating developers to </w:t>
      </w:r>
      <w:r w:rsidRPr="00CF49AF">
        <w:lastRenderedPageBreak/>
        <w:t>contribute to affordable housing and attracting State-funded and not for</w:t>
      </w:r>
      <w:r w:rsidRPr="00322B42">
        <w:t xml:space="preserve"> profit public, social and affordable housing investment to Moreland </w:t>
      </w:r>
    </w:p>
    <w:p w14:paraId="25C91D0C" w14:textId="77777777" w:rsidR="00AB21EE" w:rsidRPr="00322B42" w:rsidRDefault="00AB21EE" w:rsidP="00AB21EE">
      <w:pPr>
        <w:pStyle w:val="ListParagraph"/>
        <w:numPr>
          <w:ilvl w:val="0"/>
          <w:numId w:val="20"/>
        </w:numPr>
      </w:pPr>
      <w:r w:rsidRPr="00322B42">
        <w:t>Strategy 4.9</w:t>
      </w:r>
      <w:r>
        <w:t>: T</w:t>
      </w:r>
      <w:r w:rsidRPr="00322B42">
        <w:t xml:space="preserve">o revitalise Moreland’s major activity centres to deliver new integrated community facilities and services, enable new cultural spaces, create jobs and improve local accessibility and amenity, while protecting the special character that each centre is known for and advocating for affordable housing outcomes </w:t>
      </w:r>
    </w:p>
    <w:p w14:paraId="2F6C2263" w14:textId="77777777" w:rsidR="00AB21EE" w:rsidRPr="00322B42" w:rsidRDefault="00AB21EE" w:rsidP="00AB21EE">
      <w:pPr>
        <w:pStyle w:val="ListParagraph"/>
        <w:numPr>
          <w:ilvl w:val="0"/>
          <w:numId w:val="20"/>
        </w:numPr>
      </w:pPr>
      <w:r w:rsidRPr="00322B42">
        <w:t>Major initiative 4.7</w:t>
      </w:r>
      <w:r>
        <w:t xml:space="preserve">: </w:t>
      </w:r>
      <w:r w:rsidRPr="00322B42">
        <w:t xml:space="preserve"> </w:t>
      </w:r>
      <w:r>
        <w:t>T</w:t>
      </w:r>
      <w:r w:rsidRPr="00322B42">
        <w:t xml:space="preserve">o review and implement the Affordable Housing Action Plan including the development of affordable housing on council land </w:t>
      </w:r>
    </w:p>
    <w:p w14:paraId="626FFF50" w14:textId="77777777" w:rsidR="00AB21EE" w:rsidRPr="00FF569F" w:rsidRDefault="00AB21EE" w:rsidP="00AB21EE">
      <w:pPr>
        <w:rPr>
          <w:b/>
          <w:bCs/>
        </w:rPr>
      </w:pPr>
      <w:r w:rsidRPr="00FF569F">
        <w:rPr>
          <w:b/>
          <w:bCs/>
        </w:rPr>
        <w:t>Theme 3: Healthy and Caring Moreland</w:t>
      </w:r>
    </w:p>
    <w:p w14:paraId="17666F7B" w14:textId="1F9EEA4A" w:rsidR="00317D54" w:rsidRDefault="00AB21EE" w:rsidP="00317D54">
      <w:pPr>
        <w:pStyle w:val="ListParagraph"/>
        <w:numPr>
          <w:ilvl w:val="0"/>
          <w:numId w:val="21"/>
        </w:numPr>
      </w:pPr>
      <w:r w:rsidRPr="00CF49AF">
        <w:t>Strategy 3.11</w:t>
      </w:r>
      <w:r>
        <w:t xml:space="preserve">: To </w:t>
      </w:r>
      <w:r w:rsidRPr="00CF49AF">
        <w:t xml:space="preserve">support service coordination, information provision and community advocacy for people experiencing insecure housing </w:t>
      </w:r>
    </w:p>
    <w:p w14:paraId="1A10BE01" w14:textId="5DC32205" w:rsidR="00C64E31" w:rsidRPr="00AE743E" w:rsidRDefault="00D46963" w:rsidP="00AE743E">
      <w:r>
        <w:t>The Council Plan has a strategic indicator to</w:t>
      </w:r>
      <w:r w:rsidR="00317D54">
        <w:t xml:space="preserve"> increase the number of affordable housing projects delivered.</w:t>
      </w:r>
      <w:r w:rsidR="00C64E31">
        <w:t xml:space="preserve"> </w:t>
      </w:r>
      <w:r>
        <w:t>The 2021/22 Annual Report noted</w:t>
      </w:r>
      <w:r w:rsidR="00C64E31">
        <w:t xml:space="preserve"> </w:t>
      </w:r>
      <w:r w:rsidR="00C64E31" w:rsidRPr="00C64E31">
        <w:t>o</w:t>
      </w:r>
      <w:r w:rsidR="00C64E31" w:rsidRPr="00897528">
        <w:t>ne development containing 32 affordable housing dwellings was completed in 2021</w:t>
      </w:r>
      <w:r w:rsidR="00812C9F">
        <w:t>/</w:t>
      </w:r>
      <w:r w:rsidR="00C64E31" w:rsidRPr="00897528">
        <w:t>22. Eight planning permits containing 373 affordable housing dwellings were issued for 2021</w:t>
      </w:r>
      <w:r w:rsidR="00812C9F">
        <w:t>/</w:t>
      </w:r>
      <w:r w:rsidR="00C64E31" w:rsidRPr="00897528">
        <w:t>22 for future delivery</w:t>
      </w:r>
      <w:r w:rsidR="00C64E31" w:rsidRPr="00AE743E">
        <w:t xml:space="preserve"> </w:t>
      </w:r>
    </w:p>
    <w:p w14:paraId="64765D60" w14:textId="1120F669" w:rsidR="00B54DE0" w:rsidRPr="00FF569F" w:rsidRDefault="00D12536" w:rsidP="00B54DE0">
      <w:pPr>
        <w:rPr>
          <w:b/>
          <w:bCs/>
          <w:i/>
          <w:iCs/>
        </w:rPr>
      </w:pPr>
      <w:r>
        <w:rPr>
          <w:b/>
          <w:bCs/>
          <w:i/>
          <w:iCs/>
        </w:rPr>
        <w:t xml:space="preserve">Integrated planning framework </w:t>
      </w:r>
    </w:p>
    <w:p w14:paraId="2BE91381" w14:textId="21FCF754" w:rsidR="00B54DE0" w:rsidRDefault="00B54DE0" w:rsidP="00B54DE0">
      <w:r w:rsidRPr="00991653">
        <w:t xml:space="preserve">The Plan is part of Council’s Integrated Planning and Reporting Framework </w:t>
      </w:r>
      <w:r w:rsidR="00151BA8">
        <w:t>Figure</w:t>
      </w:r>
      <w:r w:rsidRPr="00991653">
        <w:t xml:space="preserve"> </w:t>
      </w:r>
      <w:r w:rsidR="00151BA8">
        <w:t>2</w:t>
      </w:r>
      <w:r w:rsidRPr="00991653">
        <w:t xml:space="preserve"> shows where the Plan sits within the Framework. </w:t>
      </w:r>
      <w:r w:rsidRPr="00AA25B9">
        <w:t>This</w:t>
      </w:r>
      <w:r w:rsidRPr="00A469DA">
        <w:t xml:space="preserve"> </w:t>
      </w:r>
      <w:r w:rsidR="00D24C0D">
        <w:t>Affordable Housing Action Plan</w:t>
      </w:r>
      <w:r w:rsidRPr="00991653">
        <w:t xml:space="preserve"> is placed within </w:t>
      </w:r>
      <w:r w:rsidR="00F027BC" w:rsidRPr="00991653">
        <w:t>4-year</w:t>
      </w:r>
      <w:r w:rsidRPr="00991653">
        <w:t xml:space="preserve"> strategic plans that supports the</w:t>
      </w:r>
      <w:r w:rsidRPr="00AC413E">
        <w:t xml:space="preserve"> delivery of the</w:t>
      </w:r>
      <w:r w:rsidR="00F35421">
        <w:t xml:space="preserve"> </w:t>
      </w:r>
      <w:r w:rsidRPr="00AC413E">
        <w:t>Community Vision</w:t>
      </w:r>
      <w:r>
        <w:t xml:space="preserve"> and Council Plan. </w:t>
      </w:r>
    </w:p>
    <w:p w14:paraId="37DD6CBB" w14:textId="77777777" w:rsidR="00713310" w:rsidRDefault="00B54DE0" w:rsidP="00477570">
      <w:pPr>
        <w:keepNext/>
      </w:pPr>
      <w:r>
        <w:rPr>
          <w:noProof/>
        </w:rPr>
        <w:drawing>
          <wp:inline distT="0" distB="0" distL="0" distR="0" wp14:anchorId="072ABA36" wp14:editId="13AE65E9">
            <wp:extent cx="5657187" cy="3959051"/>
            <wp:effectExtent l="19050" t="19050" r="20320" b="228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9563"/>
                    <a:stretch/>
                  </pic:blipFill>
                  <pic:spPr bwMode="auto">
                    <a:xfrm>
                      <a:off x="0" y="0"/>
                      <a:ext cx="5690767" cy="3982551"/>
                    </a:xfrm>
                    <a:prstGeom prst="rect">
                      <a:avLst/>
                    </a:prstGeom>
                    <a:noFill/>
                    <a:ln>
                      <a:solidFill>
                        <a:schemeClr val="tx1">
                          <a:lumMod val="50000"/>
                          <a:lumOff val="50000"/>
                        </a:schemeClr>
                      </a:solidFill>
                    </a:ln>
                    <a:extLst>
                      <a:ext uri="{53640926-AAD7-44D8-BBD7-CCE9431645EC}">
                        <a14:shadowObscured xmlns:a14="http://schemas.microsoft.com/office/drawing/2010/main"/>
                      </a:ext>
                    </a:extLst>
                  </pic:spPr>
                </pic:pic>
              </a:graphicData>
            </a:graphic>
          </wp:inline>
        </w:drawing>
      </w:r>
    </w:p>
    <w:p w14:paraId="6ABC4D52" w14:textId="62B50BDE" w:rsidR="00013C6F" w:rsidRPr="00477570" w:rsidRDefault="00713310" w:rsidP="00477570">
      <w:pPr>
        <w:pStyle w:val="Caption"/>
        <w:rPr>
          <w:b w:val="0"/>
          <w:bCs/>
          <w:i/>
          <w:iCs w:val="0"/>
          <w:sz w:val="18"/>
        </w:rPr>
      </w:pPr>
      <w:r w:rsidRPr="00477570">
        <w:rPr>
          <w:b w:val="0"/>
          <w:bCs/>
          <w:sz w:val="18"/>
        </w:rPr>
        <w:t xml:space="preserve">Figure </w:t>
      </w:r>
      <w:r w:rsidRPr="00477570">
        <w:rPr>
          <w:b w:val="0"/>
          <w:bCs/>
          <w:sz w:val="18"/>
        </w:rPr>
        <w:fldChar w:fldCharType="begin"/>
      </w:r>
      <w:r w:rsidRPr="00477570">
        <w:rPr>
          <w:b w:val="0"/>
          <w:bCs/>
          <w:sz w:val="18"/>
        </w:rPr>
        <w:instrText xml:space="preserve"> SEQ Figure \* ARABIC </w:instrText>
      </w:r>
      <w:r w:rsidRPr="00477570">
        <w:rPr>
          <w:b w:val="0"/>
          <w:bCs/>
          <w:sz w:val="18"/>
        </w:rPr>
        <w:fldChar w:fldCharType="separate"/>
      </w:r>
      <w:r w:rsidR="001F22A3">
        <w:rPr>
          <w:b w:val="0"/>
          <w:bCs/>
          <w:noProof/>
          <w:sz w:val="18"/>
        </w:rPr>
        <w:t>2</w:t>
      </w:r>
      <w:r w:rsidRPr="00477570">
        <w:rPr>
          <w:b w:val="0"/>
          <w:bCs/>
          <w:sz w:val="18"/>
        </w:rPr>
        <w:fldChar w:fldCharType="end"/>
      </w:r>
      <w:r w:rsidRPr="00477570">
        <w:rPr>
          <w:b w:val="0"/>
          <w:bCs/>
          <w:sz w:val="18"/>
        </w:rPr>
        <w:t xml:space="preserve"> </w:t>
      </w:r>
      <w:r w:rsidR="00B310C0">
        <w:rPr>
          <w:b w:val="0"/>
          <w:bCs/>
          <w:sz w:val="18"/>
        </w:rPr>
        <w:t xml:space="preserve">Merri-bek </w:t>
      </w:r>
      <w:r w:rsidRPr="00477570">
        <w:rPr>
          <w:b w:val="0"/>
          <w:bCs/>
          <w:sz w:val="18"/>
        </w:rPr>
        <w:t>Integrated Planning and Reporting Framework</w:t>
      </w:r>
    </w:p>
    <w:p w14:paraId="590260CF" w14:textId="77777777" w:rsidR="00713310" w:rsidRDefault="00713310" w:rsidP="00B65F53">
      <w:pPr>
        <w:rPr>
          <w:b/>
          <w:bCs/>
          <w:i/>
          <w:iCs/>
        </w:rPr>
      </w:pPr>
    </w:p>
    <w:p w14:paraId="62D53E3E" w14:textId="01AF2FAE" w:rsidR="00FE3BF5" w:rsidRPr="00FF569F" w:rsidRDefault="00F35421" w:rsidP="00B65F53">
      <w:pPr>
        <w:rPr>
          <w:b/>
          <w:bCs/>
          <w:i/>
          <w:iCs/>
        </w:rPr>
      </w:pPr>
      <w:r w:rsidRPr="00AE743E">
        <w:rPr>
          <w:b/>
          <w:bCs/>
        </w:rPr>
        <w:t>The</w:t>
      </w:r>
      <w:r w:rsidR="00042D78" w:rsidRPr="00AE743E">
        <w:rPr>
          <w:b/>
          <w:bCs/>
        </w:rPr>
        <w:t xml:space="preserve"> </w:t>
      </w:r>
      <w:r w:rsidR="00FE3BF5" w:rsidRPr="00AE743E">
        <w:rPr>
          <w:b/>
          <w:bCs/>
        </w:rPr>
        <w:t>Planning Scheme</w:t>
      </w:r>
      <w:r w:rsidR="00FE3BF5" w:rsidRPr="00FF569F">
        <w:rPr>
          <w:b/>
          <w:bCs/>
          <w:i/>
          <w:iCs/>
        </w:rPr>
        <w:t xml:space="preserve"> – Planning Policy Framework</w:t>
      </w:r>
    </w:p>
    <w:p w14:paraId="1453B684" w14:textId="31CF2C22" w:rsidR="00BC7C60" w:rsidRDefault="00D24C0D" w:rsidP="00B65F53">
      <w:r w:rsidRPr="00AE743E">
        <w:rPr>
          <w:i/>
          <w:iCs/>
        </w:rPr>
        <w:t>The</w:t>
      </w:r>
      <w:r w:rsidRPr="004F6D3E">
        <w:rPr>
          <w:i/>
          <w:iCs/>
        </w:rPr>
        <w:t xml:space="preserve"> Planning Scheme</w:t>
      </w:r>
      <w:r>
        <w:rPr>
          <w:i/>
          <w:iCs/>
        </w:rPr>
        <w:t xml:space="preserve"> </w:t>
      </w:r>
      <w:r>
        <w:t xml:space="preserve">aims to facilitate the </w:t>
      </w:r>
      <w:r w:rsidR="00BC7C60">
        <w:t xml:space="preserve">increase </w:t>
      </w:r>
      <w:r>
        <w:t xml:space="preserve">in </w:t>
      </w:r>
      <w:r w:rsidR="00BC7C60">
        <w:t xml:space="preserve">the supply of affordable housing in </w:t>
      </w:r>
      <w:r w:rsidR="00F35421">
        <w:t>Merri-bek</w:t>
      </w:r>
      <w:r>
        <w:t xml:space="preserve"> through the following provisions.   </w:t>
      </w:r>
    </w:p>
    <w:p w14:paraId="3B45F2EB" w14:textId="1529F67A" w:rsidR="00322B42" w:rsidRPr="00CF49AF" w:rsidRDefault="00322B42" w:rsidP="00322B42">
      <w:pPr>
        <w:rPr>
          <w:b/>
          <w:bCs/>
        </w:rPr>
      </w:pPr>
      <w:r w:rsidRPr="00FF569F">
        <w:rPr>
          <w:b/>
          <w:bCs/>
        </w:rPr>
        <w:t>VPP16.01-1S Housing Supply</w:t>
      </w:r>
    </w:p>
    <w:p w14:paraId="7637F152" w14:textId="34B13114" w:rsidR="00322B42" w:rsidRPr="00322B42" w:rsidRDefault="00322B42" w:rsidP="00FF569F">
      <w:pPr>
        <w:pStyle w:val="ListParagraph"/>
        <w:numPr>
          <w:ilvl w:val="0"/>
          <w:numId w:val="21"/>
        </w:numPr>
      </w:pPr>
      <w:r w:rsidRPr="00CF49AF">
        <w:t xml:space="preserve">To facilitate well-located, integrated and diverse housing that meets </w:t>
      </w:r>
      <w:r w:rsidRPr="00322B42">
        <w:t>community needs</w:t>
      </w:r>
    </w:p>
    <w:p w14:paraId="1E1AEDC0" w14:textId="53E772FA" w:rsidR="00322B42" w:rsidRPr="00FF569F" w:rsidRDefault="00322B42" w:rsidP="00B65F53">
      <w:pPr>
        <w:rPr>
          <w:b/>
          <w:bCs/>
        </w:rPr>
      </w:pPr>
      <w:r w:rsidRPr="00FF569F">
        <w:rPr>
          <w:b/>
          <w:bCs/>
        </w:rPr>
        <w:t>VPP16.01-2S Housing affordability</w:t>
      </w:r>
    </w:p>
    <w:p w14:paraId="7132B809" w14:textId="6025D008" w:rsidR="00322B42" w:rsidRPr="00FF569F" w:rsidRDefault="00322B42" w:rsidP="00FF569F">
      <w:pPr>
        <w:pStyle w:val="ListParagraph"/>
        <w:numPr>
          <w:ilvl w:val="0"/>
          <w:numId w:val="21"/>
        </w:numPr>
      </w:pPr>
      <w:r w:rsidRPr="00CF49AF">
        <w:t>To deliver more affordable housing closer to jobs, transport and services</w:t>
      </w:r>
    </w:p>
    <w:p w14:paraId="351A5026" w14:textId="7133C695" w:rsidR="00322B42" w:rsidRPr="00322B42" w:rsidRDefault="00322B42" w:rsidP="00322B42">
      <w:pPr>
        <w:rPr>
          <w:b/>
          <w:bCs/>
        </w:rPr>
      </w:pPr>
      <w:r w:rsidRPr="00FF569F">
        <w:rPr>
          <w:b/>
          <w:bCs/>
        </w:rPr>
        <w:t>LPP16.01-2L   Housing affordability Moreland</w:t>
      </w:r>
    </w:p>
    <w:p w14:paraId="408C451F" w14:textId="60447C78" w:rsidR="00322B42" w:rsidRPr="00FF569F" w:rsidRDefault="00322B42" w:rsidP="00CF49AF">
      <w:pPr>
        <w:pStyle w:val="ListParagraph"/>
        <w:numPr>
          <w:ilvl w:val="0"/>
          <w:numId w:val="21"/>
        </w:numPr>
        <w:rPr>
          <w:b/>
          <w:bCs/>
        </w:rPr>
      </w:pPr>
      <w:r w:rsidRPr="00322B42">
        <w:t>Encourage developments to include affordable housing to be owned and managed by a registered housing association, registered housing provider or the Director of Housing</w:t>
      </w:r>
    </w:p>
    <w:p w14:paraId="0488A1AC" w14:textId="0CAACE12" w:rsidR="00B65F53" w:rsidRPr="00FF569F" w:rsidRDefault="00B65F53" w:rsidP="00B65F53">
      <w:pPr>
        <w:rPr>
          <w:b/>
          <w:bCs/>
          <w:i/>
          <w:iCs/>
        </w:rPr>
      </w:pPr>
      <w:r w:rsidRPr="00FF569F">
        <w:rPr>
          <w:b/>
          <w:bCs/>
          <w:i/>
          <w:iCs/>
        </w:rPr>
        <w:t xml:space="preserve">State Government </w:t>
      </w:r>
    </w:p>
    <w:p w14:paraId="3BBDC79C" w14:textId="3A5EF49C" w:rsidR="00B65F53" w:rsidRPr="00AC413E" w:rsidRDefault="00B65F53" w:rsidP="00B65F53">
      <w:r w:rsidRPr="00AC413E">
        <w:t>In November 2020 the State Government announced a $5.3 billion investment in social and affordable housing</w:t>
      </w:r>
      <w:r w:rsidR="00C80779">
        <w:t>,</w:t>
      </w:r>
      <w:r w:rsidRPr="00AC413E">
        <w:t xml:space="preserve"> </w:t>
      </w:r>
      <w:r w:rsidR="00C80779">
        <w:t xml:space="preserve">the </w:t>
      </w:r>
      <w:r w:rsidR="00C80779" w:rsidRPr="00FF569F">
        <w:rPr>
          <w:i/>
          <w:iCs/>
        </w:rPr>
        <w:t>Big Housing Build</w:t>
      </w:r>
      <w:r w:rsidR="006C63AD">
        <w:rPr>
          <w:i/>
          <w:iCs/>
        </w:rPr>
        <w:t xml:space="preserve"> (BHB)</w:t>
      </w:r>
      <w:r w:rsidR="00C80779">
        <w:t xml:space="preserve">, </w:t>
      </w:r>
      <w:r w:rsidRPr="00AC413E">
        <w:t xml:space="preserve">and the creation of Homes Victoria as a dedicated agency. </w:t>
      </w:r>
      <w:r w:rsidR="005B3530">
        <w:t xml:space="preserve">A key commitment of the </w:t>
      </w:r>
      <w:r w:rsidR="006C63AD">
        <w:t xml:space="preserve">BHB </w:t>
      </w:r>
      <w:r w:rsidR="005B3530">
        <w:t xml:space="preserve">is the creation of a </w:t>
      </w:r>
      <w:r w:rsidR="005B3530" w:rsidRPr="005B3530">
        <w:t>Social and Affordable Housing Compact</w:t>
      </w:r>
      <w:r w:rsidR="00C80779">
        <w:t xml:space="preserve"> with local government. </w:t>
      </w:r>
      <w:r w:rsidR="00C42879" w:rsidRPr="00C42879">
        <w:t>The Compact is intended to give councils a ‘seat at the table’ in identifying priorities for social and affordable housing growth in their municipalities</w:t>
      </w:r>
      <w:r w:rsidR="00042D78">
        <w:t xml:space="preserve"> and will </w:t>
      </w:r>
      <w:r w:rsidR="006D64E2">
        <w:t>be implemented</w:t>
      </w:r>
      <w:r w:rsidR="00042D78">
        <w:t xml:space="preserve"> </w:t>
      </w:r>
      <w:r w:rsidR="00812C9F">
        <w:t xml:space="preserve">through </w:t>
      </w:r>
      <w:r w:rsidR="0028504E">
        <w:t>L</w:t>
      </w:r>
      <w:r w:rsidR="00042D78">
        <w:t>ocal Area Agreements between councils and Homes Victoria.</w:t>
      </w:r>
      <w:r>
        <w:t xml:space="preserve"> </w:t>
      </w:r>
      <w:r w:rsidR="006D64E2">
        <w:t xml:space="preserve">As of </w:t>
      </w:r>
      <w:r>
        <w:t>June 2022</w:t>
      </w:r>
      <w:r w:rsidRPr="00AC413E">
        <w:t>, Homes Victoria have committed a total of $112.9m in BHB funding in M</w:t>
      </w:r>
      <w:r w:rsidR="00F35421">
        <w:t>erri-bek</w:t>
      </w:r>
      <w:r w:rsidRPr="00AC413E">
        <w:t xml:space="preserve">. This is made up of a $23.5m </w:t>
      </w:r>
      <w:r w:rsidR="00F027BC" w:rsidRPr="00AC413E">
        <w:t>70</w:t>
      </w:r>
      <w:r w:rsidR="00F027BC">
        <w:t>-unit</w:t>
      </w:r>
      <w:r w:rsidRPr="00AC413E">
        <w:t xml:space="preserve"> development in Pascoe Vale to be developed and operated by Housing Choices Australia, and $89.4m to purchase 189 dwellings from its spot purchase program.</w:t>
      </w:r>
      <w:r w:rsidR="00042D78">
        <w:t xml:space="preserve"> A further $86m has been invested in the redevelopment of the former Gronn Place public housing estate under the Public Housing Renewal Program.</w:t>
      </w:r>
    </w:p>
    <w:p w14:paraId="7A9F716D" w14:textId="29ACC3BF" w:rsidR="00B65F53" w:rsidRPr="00FF569F" w:rsidRDefault="00B65F53" w:rsidP="00B65F53">
      <w:pPr>
        <w:rPr>
          <w:b/>
          <w:bCs/>
          <w:i/>
          <w:iCs/>
        </w:rPr>
      </w:pPr>
      <w:r w:rsidRPr="00FF569F">
        <w:rPr>
          <w:b/>
          <w:bCs/>
          <w:i/>
          <w:iCs/>
        </w:rPr>
        <w:t xml:space="preserve">Federal Government </w:t>
      </w:r>
    </w:p>
    <w:p w14:paraId="51CF66EC" w14:textId="6B606A70" w:rsidR="00B65F53" w:rsidRDefault="00637030" w:rsidP="00897528">
      <w:r>
        <w:t xml:space="preserve">The creation of a </w:t>
      </w:r>
      <w:r w:rsidRPr="00AC413E">
        <w:t>$10 billion Housing Australia Future Fund</w:t>
      </w:r>
      <w:r>
        <w:t xml:space="preserve"> and an expansion of the National Housing Infrastructure Facility</w:t>
      </w:r>
      <w:r w:rsidRPr="00AC413E">
        <w:t xml:space="preserve"> </w:t>
      </w:r>
      <w:r>
        <w:t xml:space="preserve">and other initiatives may provide expanded opportunities for Council to facilitate new social and affordable housing developments. </w:t>
      </w:r>
      <w:r w:rsidR="00E0570B">
        <w:t>Furthermore, i</w:t>
      </w:r>
      <w:r w:rsidR="00B65F53" w:rsidRPr="00AC413E">
        <w:t xml:space="preserve">n </w:t>
      </w:r>
      <w:r w:rsidR="00042D78">
        <w:t xml:space="preserve">October </w:t>
      </w:r>
      <w:r w:rsidR="00B65F53" w:rsidRPr="00AC413E">
        <w:t xml:space="preserve">2022 the </w:t>
      </w:r>
      <w:r w:rsidR="00042D78">
        <w:t>Federal</w:t>
      </w:r>
      <w:r w:rsidR="00B65F53" w:rsidRPr="00AC413E">
        <w:t xml:space="preserve"> Government announced a</w:t>
      </w:r>
      <w:r w:rsidR="00897528">
        <w:t xml:space="preserve"> National Housing Accord which includes</w:t>
      </w:r>
      <w:r>
        <w:t xml:space="preserve"> a role</w:t>
      </w:r>
      <w:r w:rsidR="00897528">
        <w:t xml:space="preserve"> </w:t>
      </w:r>
      <w:r w:rsidR="00812C9F">
        <w:t xml:space="preserve">for </w:t>
      </w:r>
      <w:r w:rsidR="00897528">
        <w:t>local government to p</w:t>
      </w:r>
      <w:r w:rsidR="00897528" w:rsidRPr="00AE743E">
        <w:t>articipate in and support the development of the National Housing and Homelessness Plan</w:t>
      </w:r>
      <w:r w:rsidR="00897528">
        <w:t>.</w:t>
      </w:r>
      <w:r>
        <w:t xml:space="preserve"> While the policy focus is on much-needed new housing, it remains an ongoing concern that the state government has not had sufficient transfers from Canberra under the existing national agreement to maintain existing public housing stock and adequate emergency and transitional housing.</w:t>
      </w:r>
    </w:p>
    <w:p w14:paraId="438E1981" w14:textId="77777777" w:rsidR="007E61BD" w:rsidRDefault="007E61BD" w:rsidP="00FF569F">
      <w:pPr>
        <w:spacing w:after="120" w:line="276" w:lineRule="auto"/>
        <w:rPr>
          <w:rFonts w:ascii="Galano Grotesque ExtraBold" w:hAnsi="Galano Grotesque ExtraBold"/>
          <w:sz w:val="28"/>
        </w:rPr>
      </w:pPr>
      <w:r>
        <w:br w:type="page"/>
      </w:r>
    </w:p>
    <w:p w14:paraId="09FB09C5" w14:textId="16B2D5C5" w:rsidR="00B71E44" w:rsidRPr="00CF49AF" w:rsidRDefault="00507112" w:rsidP="00CB2309">
      <w:pPr>
        <w:pStyle w:val="Heading1"/>
        <w:numPr>
          <w:ilvl w:val="0"/>
          <w:numId w:val="3"/>
        </w:numPr>
      </w:pPr>
      <w:bookmarkStart w:id="3" w:name="_Toc183183452"/>
      <w:r>
        <w:lastRenderedPageBreak/>
        <w:t>Affordable Housing in M</w:t>
      </w:r>
      <w:r w:rsidR="00F35421">
        <w:t>erri-bek</w:t>
      </w:r>
      <w:bookmarkEnd w:id="3"/>
    </w:p>
    <w:p w14:paraId="1360AF41" w14:textId="51714872" w:rsidR="00E5056F" w:rsidRPr="00FB3E4A" w:rsidRDefault="00E5056F" w:rsidP="00E5056F">
      <w:pPr>
        <w:rPr>
          <w:b/>
          <w:bCs/>
          <w:i/>
          <w:iCs/>
        </w:rPr>
      </w:pPr>
      <w:r w:rsidRPr="00C15BC0">
        <w:rPr>
          <w:b/>
          <w:bCs/>
          <w:i/>
          <w:iCs/>
        </w:rPr>
        <w:t>Housing</w:t>
      </w:r>
      <w:r w:rsidRPr="00FB3E4A">
        <w:rPr>
          <w:b/>
          <w:bCs/>
          <w:i/>
          <w:iCs/>
        </w:rPr>
        <w:t xml:space="preserve"> Need </w:t>
      </w:r>
    </w:p>
    <w:p w14:paraId="30A8C596" w14:textId="6CE02F17" w:rsidR="00B85938" w:rsidRDefault="00912A18" w:rsidP="00E5056F">
      <w:r w:rsidRPr="00735BE0">
        <w:t xml:space="preserve">The housing system is failing to provide enough safe, affordable and appropriate homes for our </w:t>
      </w:r>
      <w:r w:rsidR="00F35421">
        <w:t>Merri-bek</w:t>
      </w:r>
      <w:r w:rsidRPr="00735BE0">
        <w:t xml:space="preserve"> community. </w:t>
      </w:r>
      <w:r w:rsidR="00E5056F">
        <w:t>Council has undertaken significant research to estimate the need for social and affordable housing currently and projecting up to 2036. The shortfall in affordable housing in M</w:t>
      </w:r>
      <w:r w:rsidR="00F35421">
        <w:t>erri-bek</w:t>
      </w:r>
      <w:r w:rsidR="00E5056F">
        <w:t xml:space="preserve"> was at least 4,000 in 2016.</w:t>
      </w:r>
      <w:r w:rsidR="00E5056F">
        <w:rPr>
          <w:rStyle w:val="FootnoteReference"/>
        </w:rPr>
        <w:footnoteReference w:id="2"/>
      </w:r>
      <w:r w:rsidR="00E30A34">
        <w:t xml:space="preserve"> </w:t>
      </w:r>
      <w:r w:rsidR="00E5056F">
        <w:t xml:space="preserve">This shortfall will rise to between 7,000 and 10,500 by 2036. The shortfall </w:t>
      </w:r>
      <w:r w:rsidR="00437180">
        <w:t xml:space="preserve">cannot entirely be met by local government intervention and requires a range of </w:t>
      </w:r>
      <w:r w:rsidR="00E5056F">
        <w:t xml:space="preserve">government </w:t>
      </w:r>
      <w:r w:rsidR="00437180">
        <w:t xml:space="preserve">actions </w:t>
      </w:r>
      <w:r w:rsidR="00E5056F">
        <w:t xml:space="preserve">including mandatory planning measures and </w:t>
      </w:r>
      <w:r w:rsidR="00437180">
        <w:t xml:space="preserve">substantial investment from state and </w:t>
      </w:r>
      <w:r w:rsidR="00E0570B">
        <w:t xml:space="preserve">federal </w:t>
      </w:r>
      <w:r w:rsidR="00437180">
        <w:t>government</w:t>
      </w:r>
      <w:r w:rsidR="00E5056F">
        <w:t>.</w:t>
      </w:r>
      <w:r w:rsidR="00437180">
        <w:rPr>
          <w:rStyle w:val="FootnoteReference"/>
        </w:rPr>
        <w:footnoteReference w:id="3"/>
      </w:r>
      <w:r w:rsidR="00E5056F">
        <w:t xml:space="preserve"> </w:t>
      </w:r>
    </w:p>
    <w:p w14:paraId="756B6AE8" w14:textId="5CD52FEF" w:rsidR="00475E4C" w:rsidRPr="00475E4C" w:rsidRDefault="00475E4C" w:rsidP="00E5056F">
      <w:pPr>
        <w:rPr>
          <w:b/>
          <w:bCs/>
        </w:rPr>
      </w:pPr>
      <w:r w:rsidRPr="00475E4C">
        <w:rPr>
          <w:b/>
          <w:bCs/>
        </w:rPr>
        <w:t xml:space="preserve">Figure 3: Number of Affordable Housing Dwellings </w:t>
      </w:r>
      <w:r w:rsidR="0071643E">
        <w:rPr>
          <w:b/>
          <w:bCs/>
        </w:rPr>
        <w:t xml:space="preserve">Needed </w:t>
      </w:r>
      <w:r>
        <w:rPr>
          <w:b/>
          <w:bCs/>
        </w:rPr>
        <w:t>i</w:t>
      </w:r>
      <w:r w:rsidRPr="00475E4C">
        <w:rPr>
          <w:b/>
          <w:bCs/>
        </w:rPr>
        <w:t>n M</w:t>
      </w:r>
      <w:r w:rsidR="00316DAA">
        <w:rPr>
          <w:b/>
          <w:bCs/>
        </w:rPr>
        <w:t>erri-bek</w:t>
      </w:r>
    </w:p>
    <w:p w14:paraId="5F3F182B" w14:textId="35473AFF" w:rsidR="00E5056F" w:rsidRDefault="00E5056F">
      <w:pPr>
        <w:spacing w:after="0" w:line="240" w:lineRule="auto"/>
        <w:rPr>
          <w:b/>
          <w:bCs/>
        </w:rPr>
      </w:pPr>
      <w:r>
        <w:rPr>
          <w:noProof/>
        </w:rPr>
        <w:drawing>
          <wp:inline distT="0" distB="0" distL="0" distR="0" wp14:anchorId="08AF23AE" wp14:editId="056B5348">
            <wp:extent cx="4781550" cy="2028825"/>
            <wp:effectExtent l="19050" t="19050" r="19050" b="285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2177" b="9225"/>
                    <a:stretch/>
                  </pic:blipFill>
                  <pic:spPr bwMode="auto">
                    <a:xfrm>
                      <a:off x="0" y="0"/>
                      <a:ext cx="4781550" cy="202882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714B3973" w14:textId="6F7B6E7A" w:rsidR="00E5056F" w:rsidRPr="00477570" w:rsidRDefault="00E5056F" w:rsidP="00AE743E">
      <w:pPr>
        <w:ind w:left="993"/>
        <w:rPr>
          <w:i/>
          <w:iCs/>
          <w:sz w:val="18"/>
          <w:szCs w:val="18"/>
        </w:rPr>
      </w:pPr>
      <w:r w:rsidRPr="00477570">
        <w:rPr>
          <w:i/>
          <w:iCs/>
          <w:sz w:val="18"/>
          <w:szCs w:val="18"/>
        </w:rPr>
        <w:t xml:space="preserve">Source: A Home in Moreland </w:t>
      </w:r>
      <w:r w:rsidR="00042D78">
        <w:rPr>
          <w:i/>
          <w:iCs/>
          <w:sz w:val="18"/>
          <w:szCs w:val="18"/>
        </w:rPr>
        <w:t>r</w:t>
      </w:r>
      <w:r w:rsidRPr="00477570">
        <w:rPr>
          <w:i/>
          <w:iCs/>
          <w:sz w:val="18"/>
          <w:szCs w:val="18"/>
        </w:rPr>
        <w:t>eport, ID Consulting</w:t>
      </w:r>
      <w:r w:rsidR="006C63A1" w:rsidRPr="00477570">
        <w:rPr>
          <w:i/>
          <w:iCs/>
          <w:sz w:val="18"/>
          <w:szCs w:val="18"/>
        </w:rPr>
        <w:t xml:space="preserve"> 2018</w:t>
      </w:r>
    </w:p>
    <w:p w14:paraId="4441969A" w14:textId="799CDD21" w:rsidR="00B85938" w:rsidRDefault="00B85938" w:rsidP="00B85938">
      <w:pPr>
        <w:rPr>
          <w:b/>
          <w:bCs/>
          <w:i/>
          <w:iCs/>
        </w:rPr>
      </w:pPr>
      <w:r>
        <w:rPr>
          <w:b/>
          <w:bCs/>
          <w:i/>
          <w:iCs/>
        </w:rPr>
        <w:t xml:space="preserve">Homelessness </w:t>
      </w:r>
      <w:r w:rsidRPr="00FB3E4A">
        <w:rPr>
          <w:b/>
          <w:bCs/>
          <w:i/>
          <w:iCs/>
        </w:rPr>
        <w:t>in M</w:t>
      </w:r>
      <w:r w:rsidR="00316DAA">
        <w:rPr>
          <w:b/>
          <w:bCs/>
          <w:i/>
          <w:iCs/>
        </w:rPr>
        <w:t>erri-bek</w:t>
      </w:r>
    </w:p>
    <w:p w14:paraId="43984132" w14:textId="24A83C37" w:rsidR="006D64E2" w:rsidRDefault="00E30A34" w:rsidP="00B85938">
      <w:pPr>
        <w:spacing w:after="120" w:line="276" w:lineRule="auto"/>
      </w:pPr>
      <w:r>
        <w:t xml:space="preserve">There is </w:t>
      </w:r>
      <w:r w:rsidRPr="00735BE0">
        <w:t>a higher than metropolitan average number of people who are unhoused, with no safe shelter to call their own</w:t>
      </w:r>
      <w:r w:rsidR="00812C9F">
        <w:t xml:space="preserve"> in Merri-bek</w:t>
      </w:r>
      <w:r w:rsidRPr="00735BE0">
        <w:t>.</w:t>
      </w:r>
      <w:r>
        <w:t xml:space="preserve"> </w:t>
      </w:r>
      <w:r w:rsidR="0051465F">
        <w:t>Council a</w:t>
      </w:r>
      <w:r w:rsidR="0051465F" w:rsidRPr="0051465F">
        <w:t xml:space="preserve">cknowledges the deplorable state of homelessness in </w:t>
      </w:r>
      <w:r w:rsidR="00316DAA">
        <w:t>Merri-bek</w:t>
      </w:r>
      <w:r>
        <w:t xml:space="preserve"> and recognises that i</w:t>
      </w:r>
      <w:r w:rsidR="00284D4E">
        <w:t>t exists</w:t>
      </w:r>
      <w:r w:rsidR="00284D4E" w:rsidRPr="00A42828">
        <w:t xml:space="preserve"> </w:t>
      </w:r>
      <w:r w:rsidR="00A42828" w:rsidRPr="00A42828">
        <w:t>in many forms including</w:t>
      </w:r>
      <w:r w:rsidR="00047E5D">
        <w:t>:</w:t>
      </w:r>
      <w:r w:rsidR="00A42828" w:rsidRPr="00A42828">
        <w:t xml:space="preserve"> overcrowded, </w:t>
      </w:r>
      <w:r w:rsidR="00C63DC2" w:rsidRPr="00A42828">
        <w:t>insecure,</w:t>
      </w:r>
      <w:r w:rsidR="00A42828" w:rsidRPr="00A42828">
        <w:t xml:space="preserve"> and inappropriate housing</w:t>
      </w:r>
      <w:r w:rsidR="00A42828">
        <w:t xml:space="preserve">. </w:t>
      </w:r>
      <w:r w:rsidR="00A42828" w:rsidRPr="00A10503">
        <w:t xml:space="preserve">Rough sleeping is the most visible form of homelessness. It can take many forms including people sleeping in cars, tents, abandoned buildings and other locations. </w:t>
      </w:r>
      <w:r w:rsidR="00B85938" w:rsidRPr="00A10503">
        <w:t>According to the 2016 ABS homelessness estimates for M</w:t>
      </w:r>
      <w:r w:rsidR="00316DAA">
        <w:t>erri-bek</w:t>
      </w:r>
      <w:r w:rsidR="00B85938" w:rsidRPr="00A10503">
        <w:t>, there were 770 people experiencing homelessness in 2016, however this is likely an undercount considering data from services such as Vincent Care data.</w:t>
      </w:r>
      <w:r w:rsidR="00077BD3">
        <w:t xml:space="preserve"> </w:t>
      </w:r>
    </w:p>
    <w:p w14:paraId="48F0FDFE" w14:textId="6D4A3887" w:rsidR="006D64E2" w:rsidRDefault="006D64E2" w:rsidP="00B85938">
      <w:pPr>
        <w:spacing w:after="120" w:line="276" w:lineRule="auto"/>
      </w:pPr>
      <w:r>
        <w:t xml:space="preserve">Council </w:t>
      </w:r>
      <w:r w:rsidR="001272B4">
        <w:t>o</w:t>
      </w:r>
      <w:r>
        <w:t>fficers are active in discharging responsibilities under building and health legislation to ensure th</w:t>
      </w:r>
      <w:r w:rsidR="008C53C1">
        <w:t>e</w:t>
      </w:r>
      <w:r>
        <w:t xml:space="preserve"> wellbeing of people living in rooming houses, hotels and unsafe </w:t>
      </w:r>
      <w:r w:rsidR="001272B4">
        <w:t xml:space="preserve">buildings. </w:t>
      </w:r>
    </w:p>
    <w:p w14:paraId="6524CBC4" w14:textId="3A993D20" w:rsidR="001272B4" w:rsidRDefault="001272B4" w:rsidP="00B85938">
      <w:pPr>
        <w:spacing w:after="120" w:line="276" w:lineRule="auto"/>
      </w:pPr>
      <w:r>
        <w:t>Prevention of homelessness for women and children who have experienced family violence is an important part of the remit of the  Merri-bek Family Violence Network which Council convenes.</w:t>
      </w:r>
    </w:p>
    <w:p w14:paraId="07D85013" w14:textId="6E2FD195" w:rsidR="002E496B" w:rsidRPr="00B85938" w:rsidRDefault="00077BD3" w:rsidP="00B85938">
      <w:pPr>
        <w:spacing w:after="120" w:line="276" w:lineRule="auto"/>
      </w:pPr>
      <w:r>
        <w:lastRenderedPageBreak/>
        <w:t>In looking to achieve better long-term outcomes</w:t>
      </w:r>
      <w:r w:rsidR="00DE217D">
        <w:t>,</w:t>
      </w:r>
      <w:r w:rsidR="001272B4">
        <w:t xml:space="preserve"> particularly for people who are sleeping rough,</w:t>
      </w:r>
      <w:r w:rsidR="00DE217D">
        <w:t xml:space="preserve"> Council is exploring the potential </w:t>
      </w:r>
      <w:r w:rsidR="00477570">
        <w:t>of Functional</w:t>
      </w:r>
      <w:r w:rsidR="00B901F2">
        <w:t xml:space="preserve"> Zero- a partnership approach involving service organisations, local government and community </w:t>
      </w:r>
      <w:r w:rsidR="00F500C3">
        <w:t xml:space="preserve">which </w:t>
      </w:r>
      <w:r w:rsidR="00B901F2">
        <w:t xml:space="preserve">has been initiated in a number of </w:t>
      </w:r>
      <w:r w:rsidR="006D64E2">
        <w:t>metropolitan</w:t>
      </w:r>
      <w:r w:rsidR="00B901F2">
        <w:t xml:space="preserve"> council areas and across Australia. This uses</w:t>
      </w:r>
      <w:r w:rsidR="00B901F2" w:rsidRPr="00477570">
        <w:t xml:space="preserve"> real-time data to </w:t>
      </w:r>
      <w:r w:rsidR="00B901F2">
        <w:t xml:space="preserve">provide </w:t>
      </w:r>
      <w:r>
        <w:t>individualised</w:t>
      </w:r>
      <w:r w:rsidR="00B901F2">
        <w:t xml:space="preserve"> support over ti</w:t>
      </w:r>
      <w:r w:rsidR="00B4298C">
        <w:t>m</w:t>
      </w:r>
      <w:r w:rsidR="00B901F2">
        <w:t>e to get appropriate lo</w:t>
      </w:r>
      <w:r>
        <w:t>n</w:t>
      </w:r>
      <w:r w:rsidR="00B901F2">
        <w:t>g</w:t>
      </w:r>
      <w:r w:rsidR="00DE217D">
        <w:t>-</w:t>
      </w:r>
      <w:r w:rsidR="00B901F2">
        <w:t>term homes for</w:t>
      </w:r>
      <w:r>
        <w:t xml:space="preserve"> people</w:t>
      </w:r>
      <w:r w:rsidR="001272B4">
        <w:t xml:space="preserve"> to break the </w:t>
      </w:r>
      <w:r w:rsidR="00F027BC">
        <w:t>commonly experienced</w:t>
      </w:r>
      <w:r w:rsidR="001272B4">
        <w:t xml:space="preserve"> cycle</w:t>
      </w:r>
      <w:r w:rsidR="00F500C3">
        <w:t xml:space="preserve"> people experience </w:t>
      </w:r>
      <w:r w:rsidR="001272B4">
        <w:t xml:space="preserve"> of rough sleeping, emergency accommodation, unsustainable tenancies and back on the streets.</w:t>
      </w:r>
      <w:r>
        <w:t xml:space="preserve"> </w:t>
      </w:r>
    </w:p>
    <w:p w14:paraId="598DBC20" w14:textId="312C1E27" w:rsidR="00484C23" w:rsidRPr="00FF569F" w:rsidRDefault="00912A18" w:rsidP="00B65F53">
      <w:pPr>
        <w:rPr>
          <w:b/>
          <w:bCs/>
          <w:i/>
          <w:iCs/>
        </w:rPr>
      </w:pPr>
      <w:r w:rsidRPr="00FF569F">
        <w:rPr>
          <w:b/>
          <w:bCs/>
          <w:i/>
          <w:iCs/>
        </w:rPr>
        <w:t>Impact of COVID-19</w:t>
      </w:r>
    </w:p>
    <w:p w14:paraId="63FCC816" w14:textId="3B884142" w:rsidR="00820092" w:rsidRDefault="00484C23" w:rsidP="00B85938">
      <w:pPr>
        <w:suppressAutoHyphens w:val="0"/>
        <w:autoSpaceDN/>
        <w:spacing w:after="0" w:line="240" w:lineRule="auto"/>
        <w:contextualSpacing/>
        <w:textAlignment w:val="auto"/>
      </w:pPr>
      <w:r w:rsidRPr="00FF569F">
        <w:t xml:space="preserve">The COVID-19 pandemic </w:t>
      </w:r>
      <w:r w:rsidR="003E42D0">
        <w:t>has drawn attention to</w:t>
      </w:r>
      <w:r w:rsidRPr="00FF569F">
        <w:t xml:space="preserve"> the inequalities in the housing system that already existed</w:t>
      </w:r>
      <w:r>
        <w:t xml:space="preserve"> pre</w:t>
      </w:r>
      <w:r w:rsidR="00FB104E">
        <w:t>-</w:t>
      </w:r>
      <w:r>
        <w:t>2020</w:t>
      </w:r>
      <w:r w:rsidRPr="00FF569F">
        <w:t xml:space="preserve">. </w:t>
      </w:r>
      <w:r w:rsidR="00087C0B">
        <w:t xml:space="preserve">The pandemic </w:t>
      </w:r>
      <w:r w:rsidR="002F7E3A">
        <w:t>disproportionally</w:t>
      </w:r>
      <w:r w:rsidR="00087C0B">
        <w:t xml:space="preserve"> effected lower socio-economic groups who were required to work </w:t>
      </w:r>
      <w:r w:rsidR="00127979">
        <w:t xml:space="preserve">in community facing roles or unable to work, latterly without government subsidy. This has subsequently led to </w:t>
      </w:r>
      <w:r w:rsidR="00316DAA">
        <w:t xml:space="preserve">an </w:t>
      </w:r>
      <w:r w:rsidR="00127979">
        <w:t>increase in reported levels of housing stress.</w:t>
      </w:r>
      <w:r w:rsidR="00B45A97">
        <w:rPr>
          <w:rStyle w:val="FootnoteReference"/>
        </w:rPr>
        <w:footnoteReference w:id="4"/>
      </w:r>
      <w:r w:rsidR="003E42D0">
        <w:t xml:space="preserve"> </w:t>
      </w:r>
      <w:r w:rsidR="00A10503">
        <w:t>The COVID-19 pandemic</w:t>
      </w:r>
      <w:r w:rsidR="001272B4">
        <w:t xml:space="preserve"> </w:t>
      </w:r>
      <w:r w:rsidR="00316DAA">
        <w:t>has</w:t>
      </w:r>
      <w:r w:rsidR="00AD4E70">
        <w:t xml:space="preserve"> also</w:t>
      </w:r>
      <w:r w:rsidR="00A10503">
        <w:t xml:space="preserve"> highlighted the need for </w:t>
      </w:r>
      <w:r w:rsidR="0082357E" w:rsidRPr="00C628DB">
        <w:t>Emergency Housing</w:t>
      </w:r>
      <w:r w:rsidR="00A10503">
        <w:t xml:space="preserve">, </w:t>
      </w:r>
      <w:r w:rsidR="0082357E" w:rsidRPr="00C628DB">
        <w:t xml:space="preserve">both in terms of gaps in supply and the provision of wraparound </w:t>
      </w:r>
      <w:r w:rsidR="00267DBF" w:rsidRPr="00C628DB">
        <w:t>supports.</w:t>
      </w:r>
    </w:p>
    <w:p w14:paraId="4ECA46B6" w14:textId="285D3BB3" w:rsidR="007C4A62" w:rsidRDefault="007C4A62" w:rsidP="00B85938">
      <w:pPr>
        <w:suppressAutoHyphens w:val="0"/>
        <w:autoSpaceDN/>
        <w:spacing w:after="0" w:line="240" w:lineRule="auto"/>
        <w:contextualSpacing/>
        <w:textAlignment w:val="auto"/>
      </w:pPr>
    </w:p>
    <w:p w14:paraId="1BC7FEA6" w14:textId="3BE62FEA" w:rsidR="007C4A62" w:rsidRPr="00CA2AA2" w:rsidRDefault="007C4A62" w:rsidP="00CA2AA2">
      <w:pPr>
        <w:rPr>
          <w:b/>
          <w:bCs/>
          <w:i/>
          <w:iCs/>
        </w:rPr>
      </w:pPr>
      <w:r w:rsidRPr="00CA2AA2">
        <w:rPr>
          <w:b/>
          <w:bCs/>
          <w:i/>
          <w:iCs/>
        </w:rPr>
        <w:t>Key workers</w:t>
      </w:r>
    </w:p>
    <w:p w14:paraId="7260A427" w14:textId="21306DFE" w:rsidR="007C4A62" w:rsidRPr="00CA2AA2" w:rsidRDefault="007C4A62" w:rsidP="007C4A62">
      <w:r w:rsidRPr="00CA2AA2">
        <w:t>An emerging housing affordability issue in Merri-</w:t>
      </w:r>
      <w:r w:rsidR="00CB4BB4">
        <w:t>b</w:t>
      </w:r>
      <w:r w:rsidRPr="00CA2AA2">
        <w:t xml:space="preserve">ek is businesses being </w:t>
      </w:r>
      <w:r w:rsidR="00CB4BB4">
        <w:t>un</w:t>
      </w:r>
      <w:r w:rsidRPr="00CA2AA2">
        <w:t>able to attract and retain workers who do essential jobs that service the Merri-</w:t>
      </w:r>
      <w:r w:rsidR="00CB4BB4">
        <w:t>b</w:t>
      </w:r>
      <w:r w:rsidRPr="00CA2AA2">
        <w:t>ek resident community. These people are known as key workers</w:t>
      </w:r>
      <w:r w:rsidR="00CB4BB4">
        <w:t>.</w:t>
      </w:r>
    </w:p>
    <w:p w14:paraId="689185C5" w14:textId="13258439" w:rsidR="007C4A62" w:rsidRDefault="002F7E3A" w:rsidP="007C4A62">
      <w:pPr>
        <w:spacing w:afterLines="120" w:after="288"/>
        <w:rPr>
          <w:rFonts w:cs="Arial"/>
        </w:rPr>
      </w:pPr>
      <w:r>
        <w:rPr>
          <w:rFonts w:cs="Arial"/>
        </w:rPr>
        <w:t>Key workers are</w:t>
      </w:r>
      <w:r w:rsidR="007C4A62" w:rsidRPr="00CA2AA2">
        <w:rPr>
          <w:rFonts w:cs="Arial"/>
        </w:rPr>
        <w:t xml:space="preserve"> in Merri-bek’s shops and</w:t>
      </w:r>
      <w:r w:rsidR="00F027BC">
        <w:rPr>
          <w:rFonts w:cs="Arial"/>
        </w:rPr>
        <w:t xml:space="preserve"> </w:t>
      </w:r>
      <w:r w:rsidR="00CB4BB4">
        <w:rPr>
          <w:rFonts w:cs="Arial"/>
        </w:rPr>
        <w:t>hospitality businesses,</w:t>
      </w:r>
      <w:r w:rsidR="007C4A62" w:rsidRPr="00CA2AA2">
        <w:rPr>
          <w:rFonts w:cs="Arial"/>
        </w:rPr>
        <w:t xml:space="preserve"> in</w:t>
      </w:r>
      <w:r w:rsidR="00492FE6">
        <w:rPr>
          <w:rFonts w:cs="Arial"/>
        </w:rPr>
        <w:t xml:space="preserve"> </w:t>
      </w:r>
      <w:r w:rsidR="00CB4BB4">
        <w:rPr>
          <w:rFonts w:cs="Arial"/>
        </w:rPr>
        <w:t>healthcare, education and aged care.</w:t>
      </w:r>
      <w:r w:rsidR="00492FE6">
        <w:rPr>
          <w:rFonts w:cs="Arial"/>
        </w:rPr>
        <w:t xml:space="preserve"> </w:t>
      </w:r>
      <w:r w:rsidR="007C4A62" w:rsidRPr="00CA2AA2">
        <w:rPr>
          <w:rFonts w:cs="Arial"/>
        </w:rPr>
        <w:t xml:space="preserve">Many of these workers are in lower paid jobs and cannot afford housing in Merri-Bek. </w:t>
      </w:r>
      <w:r w:rsidR="00CB4BB4">
        <w:rPr>
          <w:rFonts w:cs="Arial"/>
        </w:rPr>
        <w:t>T</w:t>
      </w:r>
      <w:r w:rsidR="00CB4BB4" w:rsidRPr="00CA2AA2">
        <w:rPr>
          <w:rFonts w:cs="Arial"/>
        </w:rPr>
        <w:t>hey live in locations that are not well serviced by public transport</w:t>
      </w:r>
      <w:r w:rsidR="00CB4BB4">
        <w:rPr>
          <w:rFonts w:cs="Arial"/>
        </w:rPr>
        <w:t xml:space="preserve"> and</w:t>
      </w:r>
      <w:r w:rsidR="00CB4BB4" w:rsidRPr="00CA2AA2">
        <w:rPr>
          <w:rFonts w:cs="Arial"/>
        </w:rPr>
        <w:t xml:space="preserve"> predominantly travel to work by car. </w:t>
      </w:r>
      <w:r w:rsidR="00CB4BB4">
        <w:rPr>
          <w:rFonts w:cs="Arial"/>
        </w:rPr>
        <w:t xml:space="preserve">However, they are often not eligible for social housing. </w:t>
      </w:r>
      <w:r w:rsidR="007C4A62" w:rsidRPr="00CA2AA2">
        <w:rPr>
          <w:rFonts w:cs="Arial"/>
        </w:rPr>
        <w:t xml:space="preserve">Further research is required to understand </w:t>
      </w:r>
      <w:r w:rsidR="00CB4BB4">
        <w:rPr>
          <w:rFonts w:cs="Arial"/>
        </w:rPr>
        <w:t>what type of affordable housing could provide for better outcomes for key workers, business and our diverse communities.</w:t>
      </w:r>
    </w:p>
    <w:p w14:paraId="31933589" w14:textId="77777777" w:rsidR="00DE217D" w:rsidRPr="00FF569F" w:rsidRDefault="00DE217D" w:rsidP="00DE217D">
      <w:pPr>
        <w:rPr>
          <w:b/>
          <w:bCs/>
          <w:i/>
          <w:iCs/>
        </w:rPr>
      </w:pPr>
      <w:r w:rsidRPr="00FF569F">
        <w:rPr>
          <w:b/>
          <w:bCs/>
          <w:i/>
          <w:iCs/>
        </w:rPr>
        <w:t>Moreland Affordable Housing Ltd</w:t>
      </w:r>
    </w:p>
    <w:p w14:paraId="7779A1A2" w14:textId="62DA9D75" w:rsidR="00DE217D" w:rsidRDefault="00DE217D" w:rsidP="00DE217D">
      <w:r w:rsidRPr="00020786">
        <w:t xml:space="preserve">In 2018 Council established an arms-length entity, Moreland Affordable Housing Ltd (MAH) to address the lack of secure and affordable housing options available to residents across </w:t>
      </w:r>
      <w:r w:rsidR="00316DAA">
        <w:t xml:space="preserve">the </w:t>
      </w:r>
      <w:r w:rsidR="00F438F4">
        <w:t>Municipality</w:t>
      </w:r>
      <w:r w:rsidRPr="00020786">
        <w:t xml:space="preserve">. Using seed funding over 4 years of $865,000 from the  Housing Strategy Reserve, MAH is focused on developing </w:t>
      </w:r>
      <w:r>
        <w:t xml:space="preserve">appropriate </w:t>
      </w:r>
      <w:r w:rsidRPr="00020786">
        <w:t>Council-owned land sites for social and affordable housing developments.</w:t>
      </w:r>
      <w:r>
        <w:t xml:space="preserve"> </w:t>
      </w:r>
    </w:p>
    <w:p w14:paraId="103AAE07" w14:textId="77777777" w:rsidR="00DE217D" w:rsidRDefault="00DE217D" w:rsidP="00DE217D">
      <w:r>
        <w:t>I</w:t>
      </w:r>
      <w:r w:rsidRPr="00E81844">
        <w:t xml:space="preserve">n September 2021 </w:t>
      </w:r>
      <w:r>
        <w:t>Council agreed to sell land at 2-12 Wilkinson Street, Brunswick to MAH for the purposes of developing affordable housing. MAH have partnered with Haven Home Safe to deliver social housing on the site.</w:t>
      </w:r>
    </w:p>
    <w:p w14:paraId="36382456" w14:textId="214E4046" w:rsidR="002E199E" w:rsidRPr="00FF569F" w:rsidRDefault="002E199E" w:rsidP="002E199E">
      <w:pPr>
        <w:rPr>
          <w:b/>
          <w:bCs/>
          <w:i/>
          <w:iCs/>
        </w:rPr>
      </w:pPr>
      <w:r w:rsidRPr="00FF569F">
        <w:rPr>
          <w:b/>
          <w:bCs/>
          <w:i/>
          <w:iCs/>
        </w:rPr>
        <w:t xml:space="preserve">Housing </w:t>
      </w:r>
      <w:r w:rsidR="006636DE">
        <w:rPr>
          <w:b/>
          <w:bCs/>
          <w:i/>
          <w:iCs/>
        </w:rPr>
        <w:t xml:space="preserve">Strategy </w:t>
      </w:r>
      <w:r w:rsidRPr="00FF569F">
        <w:rPr>
          <w:b/>
          <w:bCs/>
          <w:i/>
          <w:iCs/>
        </w:rPr>
        <w:t>Reserve</w:t>
      </w:r>
    </w:p>
    <w:p w14:paraId="6EA75C39" w14:textId="2F29C4A6" w:rsidR="00507112" w:rsidRDefault="00507112" w:rsidP="00347C87">
      <w:r w:rsidRPr="00507112">
        <w:t xml:space="preserve">Council established a Housing Strategy Reserve in 1997-1998, following the forced sale of the Coburg and Brunswick electricity wholesaling businesses as part of the privatisation of the SEC (State Electricity Commission) in 1996-1997. A total of $1.5 million was allocated to the Reserve </w:t>
      </w:r>
      <w:r w:rsidRPr="00507112">
        <w:lastRenderedPageBreak/>
        <w:t xml:space="preserve">to </w:t>
      </w:r>
      <w:r w:rsidR="00C15BC0">
        <w:t>help increase supply of</w:t>
      </w:r>
      <w:r w:rsidRPr="00507112">
        <w:t xml:space="preserve"> affordable housing.</w:t>
      </w:r>
      <w:r w:rsidR="00DE217D">
        <w:t xml:space="preserve"> In addition to its current financial support for MAH, t</w:t>
      </w:r>
      <w:r w:rsidRPr="00507112">
        <w:t>h</w:t>
      </w:r>
      <w:r w:rsidR="00C15BC0">
        <w:t xml:space="preserve">e reserve has </w:t>
      </w:r>
      <w:r w:rsidRPr="00507112">
        <w:t>supported the development of four projects by community housing and charitable agencies in Coburg, Coburg North and Fawkner. These 22 homes all sit on council land under a long term (40 or 50 year) leasehold arrangement.</w:t>
      </w:r>
      <w:r w:rsidR="00DE217D">
        <w:t xml:space="preserve"> Since 2015 Council has allocated $50,000 a year to the reserve</w:t>
      </w:r>
      <w:r w:rsidR="006971A7">
        <w:t xml:space="preserve"> as well as 50% of revenue from the sale of abandoned cars.</w:t>
      </w:r>
    </w:p>
    <w:p w14:paraId="4EECC67C" w14:textId="322C026F" w:rsidR="00347C87" w:rsidRPr="00FF569F" w:rsidRDefault="00347C87" w:rsidP="00347C87">
      <w:pPr>
        <w:rPr>
          <w:b/>
          <w:bCs/>
          <w:i/>
          <w:iCs/>
        </w:rPr>
      </w:pPr>
      <w:r w:rsidRPr="00FF569F">
        <w:rPr>
          <w:b/>
          <w:bCs/>
          <w:i/>
          <w:iCs/>
        </w:rPr>
        <w:t xml:space="preserve">Climate Emergency </w:t>
      </w:r>
    </w:p>
    <w:p w14:paraId="0875DF04" w14:textId="55A610ED" w:rsidR="00347C87" w:rsidRDefault="00347C87" w:rsidP="00FF569F">
      <w:r w:rsidRPr="00FE3BF5">
        <w:t xml:space="preserve">Climate change impacts affordable housing at different levels of the </w:t>
      </w:r>
      <w:r w:rsidR="009A7733">
        <w:t>H</w:t>
      </w:r>
      <w:r w:rsidRPr="00FE3BF5">
        <w:t xml:space="preserve">ousing </w:t>
      </w:r>
      <w:r w:rsidR="009A7733">
        <w:t>Continuum</w:t>
      </w:r>
      <w:r w:rsidRPr="00FE3BF5">
        <w:t xml:space="preserve">. When a person is sleeping rough, they can be at greater risk of violence, and extreme weather, both of which can have significant impacts on their physical and mental health. While many new affordable homes are needed, there is an urgent need to </w:t>
      </w:r>
      <w:r w:rsidR="00FB3E4A">
        <w:t xml:space="preserve">upgrade </w:t>
      </w:r>
      <w:r w:rsidRPr="00FE3BF5">
        <w:t>existing</w:t>
      </w:r>
      <w:r w:rsidR="009A412F">
        <w:t xml:space="preserve"> </w:t>
      </w:r>
      <w:r w:rsidRPr="00FE3BF5">
        <w:t>ageing</w:t>
      </w:r>
      <w:r w:rsidR="009A412F">
        <w:t xml:space="preserve"> </w:t>
      </w:r>
      <w:r w:rsidRPr="00FE3BF5">
        <w:t>public</w:t>
      </w:r>
      <w:r w:rsidR="001D12B4">
        <w:t xml:space="preserve"> and low-income community owned </w:t>
      </w:r>
      <w:r w:rsidRPr="00FE3BF5">
        <w:t>housing stock</w:t>
      </w:r>
      <w:r w:rsidR="00805BF7">
        <w:t xml:space="preserve"> </w:t>
      </w:r>
      <w:r w:rsidR="009A412F">
        <w:t xml:space="preserve">for it to be </w:t>
      </w:r>
      <w:r w:rsidR="00805BF7" w:rsidRPr="00805BF7">
        <w:t>healthy and safe</w:t>
      </w:r>
      <w:r w:rsidR="009A412F">
        <w:t xml:space="preserve"> for its </w:t>
      </w:r>
      <w:r w:rsidR="001D12B4">
        <w:t>residents</w:t>
      </w:r>
      <w:r w:rsidR="009A412F">
        <w:t xml:space="preserve">. </w:t>
      </w:r>
      <w:r w:rsidR="00023FF5">
        <w:t>The sector</w:t>
      </w:r>
      <w:r w:rsidR="001D12B4">
        <w:t xml:space="preserve"> need</w:t>
      </w:r>
      <w:r w:rsidR="00023FF5">
        <w:t>s</w:t>
      </w:r>
      <w:r w:rsidR="001D12B4">
        <w:t xml:space="preserve"> to consider </w:t>
      </w:r>
      <w:r w:rsidR="00023FF5">
        <w:t xml:space="preserve">the effects of </w:t>
      </w:r>
      <w:r w:rsidR="001D12B4" w:rsidRPr="000B2D34">
        <w:t xml:space="preserve">climate change </w:t>
      </w:r>
      <w:r w:rsidR="00023FF5">
        <w:t>when</w:t>
      </w:r>
      <w:r w:rsidR="001D12B4" w:rsidRPr="000B2D34">
        <w:t xml:space="preserve"> managing, renewing and </w:t>
      </w:r>
      <w:r w:rsidR="00542D0F">
        <w:t xml:space="preserve">in </w:t>
      </w:r>
      <w:r w:rsidR="0072663B">
        <w:t xml:space="preserve">planning </w:t>
      </w:r>
      <w:r w:rsidR="001D12B4" w:rsidRPr="000B2D34">
        <w:t>new</w:t>
      </w:r>
      <w:r w:rsidR="00542D0F">
        <w:t xml:space="preserve"> </w:t>
      </w:r>
      <w:r w:rsidR="001D12B4" w:rsidRPr="000B2D34">
        <w:t>builds across all social and affordable housing</w:t>
      </w:r>
      <w:r w:rsidR="001D12B4" w:rsidRPr="008F29D6">
        <w:t>.</w:t>
      </w:r>
      <w:r w:rsidR="00760FDD" w:rsidRPr="000B06F0">
        <w:t xml:space="preserve"> </w:t>
      </w:r>
      <w:r w:rsidR="00317E7E" w:rsidRPr="000B06F0">
        <w:t>Council has advocated for the Social and Affordable Housing Compact</w:t>
      </w:r>
      <w:r w:rsidR="00317E7E" w:rsidRPr="008F29D6">
        <w:t xml:space="preserve"> to include a commitment </w:t>
      </w:r>
      <w:r w:rsidR="008F29D6" w:rsidRPr="008F29D6">
        <w:t xml:space="preserve">to increase efficiency and comfort of </w:t>
      </w:r>
      <w:r w:rsidR="00492FE6" w:rsidRPr="008F29D6">
        <w:t>buildings and</w:t>
      </w:r>
      <w:r w:rsidR="008F29D6" w:rsidRPr="008F29D6">
        <w:t xml:space="preserve"> decrease operating costs aiming to achieve a transition to net zero carbon in operation and reduction in the cost of living for residents.</w:t>
      </w:r>
    </w:p>
    <w:p w14:paraId="43A76AB7" w14:textId="68CDF775" w:rsidR="00452970" w:rsidRPr="00CF49AF" w:rsidRDefault="00452970" w:rsidP="00FF569F">
      <w:r>
        <w:t>Council</w:t>
      </w:r>
      <w:r w:rsidR="00A626AA">
        <w:t xml:space="preserve"> </w:t>
      </w:r>
      <w:r>
        <w:t xml:space="preserve">has </w:t>
      </w:r>
      <w:r w:rsidR="00A626AA">
        <w:t xml:space="preserve">existing environmental sustainability requirements in its planning scheme to make sure that new development is environmentally sustainable. It has </w:t>
      </w:r>
      <w:r>
        <w:t xml:space="preserve">also </w:t>
      </w:r>
      <w:r w:rsidR="00861DA7">
        <w:t>partnered with 23 other Councils to submit a request to the Minister for Planning to amend the planning schemes of the 23 Councils to introduce elevated environmental sustainability targets</w:t>
      </w:r>
      <w:r w:rsidR="0088160A">
        <w:t>. If supported, these sustainability targets will apply to all types of developments.</w:t>
      </w:r>
    </w:p>
    <w:p w14:paraId="5715AE6E" w14:textId="0C4FEDE4" w:rsidR="00B65F53" w:rsidRPr="00FF569F" w:rsidRDefault="00B65F53" w:rsidP="00B65F53">
      <w:pPr>
        <w:spacing w:after="120" w:line="276" w:lineRule="auto"/>
        <w:rPr>
          <w:b/>
          <w:bCs/>
        </w:rPr>
      </w:pPr>
      <w:r w:rsidRPr="00FF569F">
        <w:rPr>
          <w:b/>
          <w:bCs/>
          <w:i/>
          <w:iCs/>
        </w:rPr>
        <w:t>Gender Equality</w:t>
      </w:r>
      <w:r w:rsidRPr="008C080F">
        <w:rPr>
          <w:b/>
          <w:bCs/>
        </w:rPr>
        <w:t xml:space="preserve"> </w:t>
      </w:r>
      <w:r w:rsidR="00542196">
        <w:rPr>
          <w:b/>
          <w:bCs/>
        </w:rPr>
        <w:t xml:space="preserve">and Human Rights </w:t>
      </w:r>
    </w:p>
    <w:p w14:paraId="6714B3E9" w14:textId="35AE9F46" w:rsidR="0051465F" w:rsidRDefault="00996328" w:rsidP="006F78AF">
      <w:pPr>
        <w:suppressAutoHyphens w:val="0"/>
        <w:autoSpaceDN/>
        <w:spacing w:after="0" w:line="240" w:lineRule="auto"/>
        <w:contextualSpacing/>
        <w:textAlignment w:val="auto"/>
      </w:pPr>
      <w:r w:rsidRPr="00FF569F">
        <w:t xml:space="preserve">The </w:t>
      </w:r>
      <w:r w:rsidR="008C080F" w:rsidRPr="00FF569F">
        <w:t>Victoria</w:t>
      </w:r>
      <w:r w:rsidR="008C080F" w:rsidRPr="00996328">
        <w:t>n</w:t>
      </w:r>
      <w:r w:rsidR="008C080F" w:rsidRPr="00FF569F">
        <w:t xml:space="preserve"> Housing Register </w:t>
      </w:r>
      <w:r w:rsidR="008C080F">
        <w:t xml:space="preserve">and </w:t>
      </w:r>
      <w:r w:rsidR="00A656C8">
        <w:t xml:space="preserve">2016 </w:t>
      </w:r>
      <w:r w:rsidR="008C080F">
        <w:t>censuses indicate</w:t>
      </w:r>
      <w:r w:rsidR="008C080F" w:rsidRPr="00FF569F">
        <w:t xml:space="preserve"> t</w:t>
      </w:r>
      <w:r w:rsidR="009A412F" w:rsidRPr="00FF569F">
        <w:t xml:space="preserve">he fastest growing cohort in housing crisis and needing assistance </w:t>
      </w:r>
      <w:r w:rsidR="008C080F" w:rsidRPr="00FF569F">
        <w:t xml:space="preserve">are single </w:t>
      </w:r>
      <w:r w:rsidR="009A412F" w:rsidRPr="00FF569F">
        <w:t>women over the age of 55</w:t>
      </w:r>
      <w:r w:rsidR="004E402F">
        <w:t>, in addition</w:t>
      </w:r>
      <w:r w:rsidR="00A656C8">
        <w:t xml:space="preserve"> t</w:t>
      </w:r>
      <w:r w:rsidR="00A656C8" w:rsidRPr="00A656C8">
        <w:t xml:space="preserve">hree in five older lone person households, and 41% of older couples in </w:t>
      </w:r>
      <w:r w:rsidR="00317E7E">
        <w:t>Merri-bek</w:t>
      </w:r>
      <w:r w:rsidR="00A656C8" w:rsidRPr="00A656C8">
        <w:t xml:space="preserve"> are in rental stress</w:t>
      </w:r>
      <w:r w:rsidR="00381C62">
        <w:t>.</w:t>
      </w:r>
      <w:r w:rsidR="003C6FB8" w:rsidRPr="003C6FB8">
        <w:t xml:space="preserve"> </w:t>
      </w:r>
      <w:r w:rsidR="00805D6D">
        <w:t xml:space="preserve">There is </w:t>
      </w:r>
      <w:r w:rsidR="00381C62">
        <w:t xml:space="preserve">also </w:t>
      </w:r>
      <w:r w:rsidR="00805D6D">
        <w:t>data to suggest that p</w:t>
      </w:r>
      <w:r w:rsidR="003C6FB8" w:rsidRPr="003C6FB8">
        <w:t>eople with disability struggle to find affordable housing and are vulnerable to housing stress</w:t>
      </w:r>
      <w:r w:rsidR="003C6FB8">
        <w:rPr>
          <w:rStyle w:val="FootnoteReference"/>
        </w:rPr>
        <w:footnoteReference w:id="5"/>
      </w:r>
      <w:r w:rsidR="003C6FB8" w:rsidRPr="003C6FB8">
        <w:t xml:space="preserve">. </w:t>
      </w:r>
      <w:r w:rsidR="008C080F">
        <w:t xml:space="preserve">Further examination of </w:t>
      </w:r>
      <w:r w:rsidR="00A656C8">
        <w:t xml:space="preserve">diverse </w:t>
      </w:r>
      <w:r w:rsidR="008C080F">
        <w:t>cohort</w:t>
      </w:r>
      <w:r w:rsidR="00A656C8">
        <w:t>s</w:t>
      </w:r>
      <w:r w:rsidR="008C080F">
        <w:t xml:space="preserve"> is needed in </w:t>
      </w:r>
      <w:r w:rsidR="00317E7E">
        <w:t>Merri-bek</w:t>
      </w:r>
      <w:r w:rsidR="008C080F">
        <w:t xml:space="preserve"> and to help understand th</w:t>
      </w:r>
      <w:r w:rsidR="0072663B">
        <w:t>ese</w:t>
      </w:r>
      <w:r w:rsidR="008C080F">
        <w:t xml:space="preserve"> needs and what intervention measures can be adopted across all four focus areas. </w:t>
      </w:r>
    </w:p>
    <w:p w14:paraId="72C03849" w14:textId="77777777" w:rsidR="00030922" w:rsidRDefault="00030922" w:rsidP="00030922"/>
    <w:p w14:paraId="2E4FD096" w14:textId="22BAC910" w:rsidR="00030922" w:rsidRPr="001D540C" w:rsidRDefault="00030922" w:rsidP="00030922">
      <w:r>
        <w:t>Council has for a long time advocated for better accessibility standards in building regulations and planning schemes so that new dwellings are more accessible. People who need affordable housing are more likely to have a disability than the general population. The National Construction Code will change in 2023 to require new livable housing requirements. In addition, through its planning scheme review, Council has resolved to in</w:t>
      </w:r>
      <w:r w:rsidRPr="001D540C">
        <w:t>vestigate how planning can influence better accessibility outcomes, including</w:t>
      </w:r>
      <w:r>
        <w:t xml:space="preserve"> a</w:t>
      </w:r>
      <w:r w:rsidRPr="001D540C">
        <w:t>dvocat</w:t>
      </w:r>
      <w:r>
        <w:t>ing</w:t>
      </w:r>
      <w:r w:rsidRPr="001D540C">
        <w:t xml:space="preserve"> for elevated accessibly standards of ResCode as part of ResCode reform program </w:t>
      </w:r>
      <w:r>
        <w:t>and c</w:t>
      </w:r>
      <w:r w:rsidRPr="001D540C">
        <w:t>onsider</w:t>
      </w:r>
      <w:r>
        <w:t>ing.</w:t>
      </w:r>
      <w:r w:rsidRPr="001D540C">
        <w:t xml:space="preserve"> imbedding LHA gold level principles in new design policy</w:t>
      </w:r>
      <w:r>
        <w:t>.</w:t>
      </w:r>
    </w:p>
    <w:p w14:paraId="07210D03" w14:textId="19FCD1A2" w:rsidR="006636DE" w:rsidRDefault="006636DE" w:rsidP="006F78AF">
      <w:pPr>
        <w:suppressAutoHyphens w:val="0"/>
        <w:autoSpaceDN/>
        <w:spacing w:after="0" w:line="240" w:lineRule="auto"/>
        <w:contextualSpacing/>
        <w:textAlignment w:val="auto"/>
      </w:pPr>
    </w:p>
    <w:p w14:paraId="5B5193AB" w14:textId="77777777" w:rsidR="0051465F" w:rsidRDefault="0051465F" w:rsidP="006F78AF">
      <w:pPr>
        <w:suppressAutoHyphens w:val="0"/>
        <w:autoSpaceDN/>
        <w:spacing w:after="0" w:line="240" w:lineRule="auto"/>
        <w:contextualSpacing/>
        <w:textAlignment w:val="auto"/>
      </w:pPr>
    </w:p>
    <w:p w14:paraId="1120AA7D" w14:textId="00DB7BEF" w:rsidR="00912A18" w:rsidRPr="002E199E" w:rsidRDefault="00542D0F" w:rsidP="00CF49AF">
      <w:pPr>
        <w:pStyle w:val="Heading1"/>
        <w:numPr>
          <w:ilvl w:val="0"/>
          <w:numId w:val="3"/>
        </w:numPr>
      </w:pPr>
      <w:bookmarkStart w:id="4" w:name="_Toc183183453"/>
      <w:r>
        <w:lastRenderedPageBreak/>
        <w:t xml:space="preserve">Council’s </w:t>
      </w:r>
      <w:r w:rsidR="00912A18" w:rsidRPr="00CF49AF">
        <w:t>Role</w:t>
      </w:r>
      <w:bookmarkEnd w:id="4"/>
    </w:p>
    <w:p w14:paraId="7AB4A5D3" w14:textId="7D60877B" w:rsidR="00912A18" w:rsidRDefault="00970EEE" w:rsidP="00FF569F">
      <w:bookmarkStart w:id="5" w:name="_Ref98762142"/>
      <w:r>
        <w:t xml:space="preserve">The </w:t>
      </w:r>
      <w:r w:rsidRPr="00970EEE">
        <w:t>delivery of affordable housing</w:t>
      </w:r>
      <w:r>
        <w:t xml:space="preserve"> </w:t>
      </w:r>
      <w:r w:rsidR="00317E7E">
        <w:t xml:space="preserve">and supporting people in housing crisis </w:t>
      </w:r>
      <w:r>
        <w:t>sits</w:t>
      </w:r>
      <w:r w:rsidRPr="00970EEE">
        <w:t xml:space="preserve"> primarily </w:t>
      </w:r>
      <w:r>
        <w:t xml:space="preserve">with </w:t>
      </w:r>
      <w:r w:rsidR="007A2524">
        <w:t>state</w:t>
      </w:r>
      <w:r w:rsidR="004A133E">
        <w:t xml:space="preserve"> </w:t>
      </w:r>
      <w:r w:rsidRPr="00970EEE">
        <w:t xml:space="preserve">and </w:t>
      </w:r>
      <w:r w:rsidR="007A2524">
        <w:t>Commonwealth</w:t>
      </w:r>
      <w:r w:rsidRPr="00970EEE">
        <w:t xml:space="preserve"> </w:t>
      </w:r>
      <w:r w:rsidR="009A7733">
        <w:t>g</w:t>
      </w:r>
      <w:r>
        <w:t>overnment</w:t>
      </w:r>
      <w:r w:rsidR="007A2524">
        <w:t>s</w:t>
      </w:r>
      <w:r w:rsidR="00AE5DC7">
        <w:t xml:space="preserve">. </w:t>
      </w:r>
      <w:r w:rsidR="00FC3F50">
        <w:t xml:space="preserve">However, the lack of adequate provision of social and affordable housing is recognised as an urgent issue that all levels of government as well as the private and not-for-profit sectors should address. </w:t>
      </w:r>
      <w:r w:rsidR="004707DF">
        <w:t>Local Government</w:t>
      </w:r>
      <w:r w:rsidR="00CF2274">
        <w:t xml:space="preserve"> has </w:t>
      </w:r>
      <w:r w:rsidR="002A7A07">
        <w:t>several</w:t>
      </w:r>
      <w:r w:rsidR="00CF2274">
        <w:t xml:space="preserve"> ways it can</w:t>
      </w:r>
      <w:r w:rsidR="00952AAF">
        <w:t xml:space="preserve"> influence an increase </w:t>
      </w:r>
      <w:r w:rsidR="00317E7E">
        <w:t xml:space="preserve">in </w:t>
      </w:r>
      <w:r w:rsidR="00952AAF">
        <w:t xml:space="preserve">the supply of social and affordable housing in the municipality </w:t>
      </w:r>
      <w:r w:rsidR="00AB460C">
        <w:t>and support</w:t>
      </w:r>
      <w:r w:rsidR="00820092">
        <w:t xml:space="preserve"> </w:t>
      </w:r>
      <w:r w:rsidR="009A412F">
        <w:t xml:space="preserve">people needing </w:t>
      </w:r>
      <w:r w:rsidR="00912A18">
        <w:t>social and affordable housing</w:t>
      </w:r>
      <w:r w:rsidR="00952AAF">
        <w:t>. This is</w:t>
      </w:r>
      <w:r w:rsidR="00912A18">
        <w:t xml:space="preserve"> summarised in </w:t>
      </w:r>
      <w:r w:rsidR="00030922">
        <w:t>Figure 3</w:t>
      </w:r>
      <w:r w:rsidR="00912A18">
        <w:t>.</w:t>
      </w:r>
    </w:p>
    <w:p w14:paraId="76D2F8CC" w14:textId="7B3A68E0" w:rsidR="004A133E" w:rsidRDefault="004A133E" w:rsidP="00FF569F">
      <w:r>
        <w:t>In</w:t>
      </w:r>
      <w:r w:rsidR="00030922">
        <w:t xml:space="preserve"> </w:t>
      </w:r>
      <w:r>
        <w:t xml:space="preserve">its planning role, Council endeavours to use the Planning and Environment Act which recognises affordable housing as one of its objectives and specific provisions of the  Planning Scheme to facilitate affordable housing outcomes at scale and of high quality. The requirement to </w:t>
      </w:r>
      <w:r w:rsidR="007F3032">
        <w:t>negotiate</w:t>
      </w:r>
      <w:r>
        <w:t xml:space="preserve"> voluntary agreements rather than following mandatory requirements </w:t>
      </w:r>
      <w:r w:rsidR="007F3032">
        <w:t>is a limitation which requires a focus on skill and capacity building for Council officers and key stakeholders.</w:t>
      </w:r>
    </w:p>
    <w:p w14:paraId="5F8AE01B" w14:textId="0BF6E847" w:rsidR="007F3032" w:rsidRDefault="007F3032" w:rsidP="00FF569F">
      <w:r>
        <w:t xml:space="preserve">As a partner, Council can create new value by, for example, the contribution of under-utilised land assets. The intangible value of local knowledge and established stakeholder and community relationships can also be critical in bringing benefits to the </w:t>
      </w:r>
      <w:r w:rsidR="00317E7E">
        <w:t>Merri-bek</w:t>
      </w:r>
      <w:r>
        <w:t xml:space="preserve"> area.</w:t>
      </w:r>
    </w:p>
    <w:p w14:paraId="6A948C57" w14:textId="409B341F" w:rsidR="007F3032" w:rsidRDefault="007F3032" w:rsidP="00FF569F">
      <w:r>
        <w:t xml:space="preserve">Research on housing need and supply as well as related population and health impacts are a powerful influencing tool in the provision of social and affordable housing. </w:t>
      </w:r>
      <w:r w:rsidR="007545EF">
        <w:t>Council influence as an advocate is amplified by its active contribution to wider forums such an the M9 Group of Councils.</w:t>
      </w:r>
    </w:p>
    <w:p w14:paraId="41739680" w14:textId="48653767" w:rsidR="007545EF" w:rsidRDefault="007545EF" w:rsidP="00FF569F">
      <w:r>
        <w:t>As the incidence of homelessness is on the rise, Council’s engagement with the lead community agencies on the frontline has identified the unique position it holds to assist with improved coordination and improved outcomes for our most vulnerable community members.</w:t>
      </w:r>
    </w:p>
    <w:bookmarkEnd w:id="5"/>
    <w:p w14:paraId="2008EE31" w14:textId="5C324C12" w:rsidR="00912A18" w:rsidRDefault="00912A18" w:rsidP="00912A18">
      <w:pPr>
        <w:rPr>
          <w:rFonts w:asciiTheme="minorHAnsi" w:hAnsiTheme="minorHAnsi"/>
          <w:b/>
          <w:bCs/>
        </w:rPr>
      </w:pPr>
    </w:p>
    <w:p w14:paraId="4E707FAE" w14:textId="4188FA5E" w:rsidR="002E496B" w:rsidRDefault="002E496B" w:rsidP="00FC3F50"/>
    <w:p w14:paraId="257A5BD9" w14:textId="77777777" w:rsidR="002E496B" w:rsidRDefault="002E496B" w:rsidP="002E496B">
      <w:pPr>
        <w:suppressAutoHyphens w:val="0"/>
        <w:sectPr w:rsidR="002E496B" w:rsidSect="00BB3DBD">
          <w:headerReference w:type="even" r:id="rId13"/>
          <w:headerReference w:type="default" r:id="rId14"/>
          <w:footerReference w:type="even" r:id="rId15"/>
          <w:footerReference w:type="default" r:id="rId16"/>
          <w:headerReference w:type="first" r:id="rId17"/>
          <w:footerReference w:type="first" r:id="rId18"/>
          <w:pgSz w:w="11906" w:h="16838" w:code="9"/>
          <w:pgMar w:top="1276" w:right="1440" w:bottom="1276" w:left="993" w:header="709" w:footer="709" w:gutter="0"/>
          <w:cols w:space="720"/>
          <w:titlePg/>
          <w:docGrid w:linePitch="299"/>
        </w:sectPr>
      </w:pPr>
    </w:p>
    <w:p w14:paraId="3094EB1D" w14:textId="77777777" w:rsidR="00030922" w:rsidRDefault="006F6DFB" w:rsidP="00AE743E">
      <w:pPr>
        <w:keepNext/>
        <w:suppressAutoHyphens w:val="0"/>
        <w:ind w:left="-567"/>
      </w:pPr>
      <w:r>
        <w:rPr>
          <w:noProof/>
        </w:rPr>
        <w:lastRenderedPageBreak/>
        <w:drawing>
          <wp:inline distT="0" distB="0" distL="0" distR="0" wp14:anchorId="24AC450E" wp14:editId="7541D2AF">
            <wp:extent cx="9662615" cy="49919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695131" cy="5008711"/>
                    </a:xfrm>
                    <a:prstGeom prst="rect">
                      <a:avLst/>
                    </a:prstGeom>
                  </pic:spPr>
                </pic:pic>
              </a:graphicData>
            </a:graphic>
          </wp:inline>
        </w:drawing>
      </w:r>
    </w:p>
    <w:p w14:paraId="24E72240" w14:textId="3BAD2448" w:rsidR="006F6DFB" w:rsidRPr="00AE743E" w:rsidRDefault="00030922" w:rsidP="00AE743E">
      <w:pPr>
        <w:pStyle w:val="Caption"/>
        <w:rPr>
          <w:bCs/>
        </w:rPr>
      </w:pPr>
      <w:r w:rsidRPr="00AE743E">
        <w:rPr>
          <w:b w:val="0"/>
          <w:bCs/>
        </w:rPr>
        <w:t xml:space="preserve">Figure </w:t>
      </w:r>
      <w:r w:rsidRPr="00AE743E">
        <w:rPr>
          <w:b w:val="0"/>
          <w:bCs/>
        </w:rPr>
        <w:fldChar w:fldCharType="begin"/>
      </w:r>
      <w:r w:rsidRPr="00AE743E">
        <w:rPr>
          <w:b w:val="0"/>
          <w:bCs/>
        </w:rPr>
        <w:instrText xml:space="preserve"> SEQ Figure \* ARABIC </w:instrText>
      </w:r>
      <w:r w:rsidRPr="00AE743E">
        <w:rPr>
          <w:b w:val="0"/>
          <w:bCs/>
        </w:rPr>
        <w:fldChar w:fldCharType="separate"/>
      </w:r>
      <w:r w:rsidR="001F22A3">
        <w:rPr>
          <w:b w:val="0"/>
          <w:bCs/>
          <w:noProof/>
        </w:rPr>
        <w:t>3</w:t>
      </w:r>
      <w:r w:rsidRPr="00AE743E">
        <w:rPr>
          <w:b w:val="0"/>
          <w:bCs/>
        </w:rPr>
        <w:fldChar w:fldCharType="end"/>
      </w:r>
      <w:r>
        <w:t xml:space="preserve"> </w:t>
      </w:r>
      <w:r w:rsidRPr="00AE743E">
        <w:rPr>
          <w:b w:val="0"/>
          <w:bCs/>
        </w:rPr>
        <w:t>The roles of Council in affordable housing</w:t>
      </w:r>
    </w:p>
    <w:p w14:paraId="1EDA0020" w14:textId="77777777" w:rsidR="00ED71B4" w:rsidRDefault="00ED71B4" w:rsidP="002E496B">
      <w:pPr>
        <w:suppressAutoHyphens w:val="0"/>
      </w:pPr>
    </w:p>
    <w:p w14:paraId="73275A24" w14:textId="7804549E" w:rsidR="00393D82" w:rsidRPr="00CF49AF" w:rsidRDefault="002E199E" w:rsidP="00FF569F">
      <w:pPr>
        <w:pStyle w:val="Heading1"/>
      </w:pPr>
      <w:bookmarkStart w:id="6" w:name="_Toc183183454"/>
      <w:r w:rsidRPr="00CF49AF">
        <w:lastRenderedPageBreak/>
        <w:t>6.</w:t>
      </w:r>
      <w:r w:rsidR="00393D82">
        <w:t xml:space="preserve"> Affordable Housing </w:t>
      </w:r>
      <w:r w:rsidR="00B65F53" w:rsidRPr="002E199E">
        <w:t>Action Plan</w:t>
      </w:r>
      <w:bookmarkEnd w:id="6"/>
    </w:p>
    <w:p w14:paraId="38B51B22" w14:textId="1ECE050F" w:rsidR="00B65F53" w:rsidRPr="00C2785B" w:rsidRDefault="00393D82" w:rsidP="00FF569F">
      <w:pPr>
        <w:pStyle w:val="Heading2"/>
      </w:pPr>
      <w:bookmarkStart w:id="7" w:name="_Toc183183455"/>
      <w:r w:rsidRPr="001E0F19">
        <w:t xml:space="preserve">Focus Area 1 </w:t>
      </w:r>
      <w:r>
        <w:t>–</w:t>
      </w:r>
      <w:r w:rsidRPr="001E0F19">
        <w:t xml:space="preserve"> </w:t>
      </w:r>
      <w:r>
        <w:t>Planning</w:t>
      </w:r>
      <w:bookmarkEnd w:id="7"/>
      <w:r>
        <w:t xml:space="preserve"> </w:t>
      </w:r>
    </w:p>
    <w:tbl>
      <w:tblPr>
        <w:tblStyle w:val="TableGrid"/>
        <w:tblpPr w:leftFromText="180" w:rightFromText="180" w:vertAnchor="text" w:tblpX="-441" w:tblpY="1"/>
        <w:tblOverlap w:val="never"/>
        <w:tblW w:w="14879" w:type="dxa"/>
        <w:tblLayout w:type="fixed"/>
        <w:tblLook w:val="04A0" w:firstRow="1" w:lastRow="0" w:firstColumn="1" w:lastColumn="0" w:noHBand="0" w:noVBand="1"/>
      </w:tblPr>
      <w:tblGrid>
        <w:gridCol w:w="2263"/>
        <w:gridCol w:w="4678"/>
        <w:gridCol w:w="3686"/>
        <w:gridCol w:w="567"/>
        <w:gridCol w:w="567"/>
        <w:gridCol w:w="708"/>
        <w:gridCol w:w="567"/>
        <w:gridCol w:w="1843"/>
      </w:tblGrid>
      <w:tr w:rsidR="00B65F53" w:rsidRPr="00FA5C60" w14:paraId="4CF60571" w14:textId="77777777" w:rsidTr="00AE743E">
        <w:trPr>
          <w:trHeight w:val="280"/>
          <w:tblHeader/>
        </w:trPr>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27B5D8" w14:textId="77777777" w:rsidR="00B65F53" w:rsidRPr="00FA5C60" w:rsidRDefault="00B65F53" w:rsidP="001A360F">
            <w:pPr>
              <w:spacing w:after="160" w:line="259" w:lineRule="auto"/>
              <w:rPr>
                <w:b/>
                <w:bCs/>
              </w:rPr>
            </w:pPr>
            <w:r w:rsidRPr="00FA5C60">
              <w:rPr>
                <w:b/>
                <w:bCs/>
              </w:rPr>
              <w:t>Action</w:t>
            </w:r>
          </w:p>
        </w:tc>
        <w:tc>
          <w:tcPr>
            <w:tcW w:w="4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77EFC2" w14:textId="77777777" w:rsidR="00B65F53" w:rsidRPr="00FA5C60" w:rsidRDefault="00B65F53" w:rsidP="001A360F">
            <w:pPr>
              <w:spacing w:after="160" w:line="259" w:lineRule="auto"/>
              <w:rPr>
                <w:b/>
                <w:bCs/>
              </w:rPr>
            </w:pPr>
            <w:r w:rsidRPr="00FA5C60">
              <w:rPr>
                <w:b/>
                <w:bCs/>
              </w:rPr>
              <w:t>Activities</w:t>
            </w:r>
          </w:p>
        </w:tc>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359DDC" w14:textId="4755CE4A" w:rsidR="00B65F53" w:rsidRPr="00FA5C60" w:rsidRDefault="00B65F53" w:rsidP="001A360F">
            <w:pPr>
              <w:spacing w:after="160" w:line="259" w:lineRule="auto"/>
              <w:rPr>
                <w:b/>
                <w:bCs/>
              </w:rPr>
            </w:pPr>
            <w:r w:rsidRPr="00FA5C60">
              <w:rPr>
                <w:b/>
                <w:bCs/>
              </w:rPr>
              <w:t>Lead Unit/</w:t>
            </w:r>
            <w:r w:rsidR="007B0848">
              <w:rPr>
                <w:b/>
                <w:bCs/>
              </w:rPr>
              <w:t xml:space="preserve"> </w:t>
            </w:r>
            <w:r w:rsidRPr="00FA5C60">
              <w:rPr>
                <w:b/>
                <w:bCs/>
              </w:rPr>
              <w:t>Supporting Unit(s)</w:t>
            </w:r>
          </w:p>
        </w:tc>
        <w:tc>
          <w:tcPr>
            <w:tcW w:w="240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F5E1D7" w14:textId="77777777" w:rsidR="00B65F53" w:rsidRPr="00FA5C60" w:rsidRDefault="00B65F53" w:rsidP="001A360F">
            <w:pPr>
              <w:spacing w:after="160" w:line="259" w:lineRule="auto"/>
              <w:rPr>
                <w:b/>
                <w:bCs/>
              </w:rPr>
            </w:pPr>
            <w:r w:rsidRPr="00FA5C60">
              <w:rPr>
                <w:b/>
                <w:bCs/>
              </w:rPr>
              <w:t>Timing</w:t>
            </w:r>
          </w:p>
          <w:p w14:paraId="1AE5E055" w14:textId="158812EA" w:rsidR="00B65F53" w:rsidRPr="00FA5C60" w:rsidRDefault="00B65F53" w:rsidP="001A360F">
            <w:pPr>
              <w:spacing w:after="160" w:line="259" w:lineRule="auto"/>
              <w:rPr>
                <w:b/>
                <w:bCs/>
              </w:rPr>
            </w:pPr>
            <w:r w:rsidRPr="00FA5C60">
              <w:rPr>
                <w:b/>
                <w:bCs/>
              </w:rPr>
              <w:t xml:space="preserve">Y1   </w:t>
            </w:r>
            <w:r w:rsidR="00D24C0D">
              <w:rPr>
                <w:b/>
                <w:bCs/>
              </w:rPr>
              <w:t xml:space="preserve"> </w:t>
            </w:r>
            <w:r w:rsidRPr="00FA5C60">
              <w:rPr>
                <w:b/>
                <w:bCs/>
              </w:rPr>
              <w:t xml:space="preserve">Y2  </w:t>
            </w:r>
            <w:r w:rsidR="00D24C0D">
              <w:rPr>
                <w:b/>
                <w:bCs/>
              </w:rPr>
              <w:t xml:space="preserve">       </w:t>
            </w:r>
            <w:r w:rsidRPr="00FA5C60">
              <w:rPr>
                <w:b/>
                <w:bCs/>
              </w:rPr>
              <w:t xml:space="preserve">Y3  </w:t>
            </w:r>
            <w:r w:rsidR="00D24C0D">
              <w:rPr>
                <w:b/>
                <w:bCs/>
              </w:rPr>
              <w:t xml:space="preserve">     </w:t>
            </w:r>
            <w:r w:rsidRPr="00FA5C60">
              <w:rPr>
                <w:b/>
                <w:bCs/>
              </w:rPr>
              <w:t>Y4</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DBCD94" w14:textId="77777777" w:rsidR="00B65F53" w:rsidRPr="00FA5C60" w:rsidRDefault="00B65F53" w:rsidP="001A360F">
            <w:pPr>
              <w:spacing w:after="160" w:line="259" w:lineRule="auto"/>
              <w:rPr>
                <w:b/>
                <w:bCs/>
              </w:rPr>
            </w:pPr>
            <w:r w:rsidRPr="00FA5C60">
              <w:rPr>
                <w:b/>
                <w:bCs/>
              </w:rPr>
              <w:t>Resources</w:t>
            </w:r>
          </w:p>
          <w:p w14:paraId="2E6AA984" w14:textId="77777777" w:rsidR="00B65F53" w:rsidRPr="00FA5C60" w:rsidRDefault="00B65F53" w:rsidP="001A360F">
            <w:pPr>
              <w:spacing w:after="160" w:line="259" w:lineRule="auto"/>
              <w:rPr>
                <w:b/>
                <w:bCs/>
              </w:rPr>
            </w:pPr>
          </w:p>
        </w:tc>
      </w:tr>
      <w:tr w:rsidR="00A54879" w:rsidRPr="00FA5C60" w14:paraId="01C894D8" w14:textId="77777777" w:rsidTr="00AE743E">
        <w:trPr>
          <w:trHeight w:val="819"/>
        </w:trPr>
        <w:tc>
          <w:tcPr>
            <w:tcW w:w="226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854F3B" w14:textId="31614372" w:rsidR="00B65F53" w:rsidRPr="00FA5C60" w:rsidRDefault="00B65F53" w:rsidP="001A360F">
            <w:pPr>
              <w:spacing w:after="160" w:line="259" w:lineRule="auto"/>
              <w:rPr>
                <w:b/>
                <w:bCs/>
              </w:rPr>
            </w:pPr>
            <w:r w:rsidRPr="00FA5C60">
              <w:rPr>
                <w:b/>
                <w:bCs/>
              </w:rPr>
              <w:t xml:space="preserve">1.1 Facilitate affordable </w:t>
            </w:r>
            <w:r w:rsidR="0072663B">
              <w:rPr>
                <w:b/>
                <w:bCs/>
              </w:rPr>
              <w:t xml:space="preserve">housing </w:t>
            </w:r>
            <w:r w:rsidRPr="00FA5C60">
              <w:rPr>
                <w:b/>
                <w:bCs/>
              </w:rPr>
              <w:t xml:space="preserve">provision </w:t>
            </w:r>
            <w:r w:rsidR="00502242">
              <w:rPr>
                <w:b/>
                <w:bCs/>
              </w:rPr>
              <w:t>in</w:t>
            </w:r>
            <w:r w:rsidR="00502242" w:rsidRPr="00FA5C60">
              <w:rPr>
                <w:b/>
                <w:bCs/>
              </w:rPr>
              <w:t xml:space="preserve"> </w:t>
            </w:r>
            <w:r w:rsidRPr="00FA5C60">
              <w:rPr>
                <w:b/>
                <w:bCs/>
              </w:rPr>
              <w:t xml:space="preserve">planning </w:t>
            </w:r>
            <w:r w:rsidR="00502242">
              <w:rPr>
                <w:b/>
                <w:bCs/>
              </w:rPr>
              <w:t>permit applications</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3D51EA" w14:textId="204A5BE6" w:rsidR="00B65F53" w:rsidRPr="00C2785B" w:rsidRDefault="00502242" w:rsidP="001A360F">
            <w:pPr>
              <w:spacing w:after="160" w:line="259" w:lineRule="auto"/>
            </w:pPr>
            <w:r>
              <w:t xml:space="preserve">Negotiate </w:t>
            </w:r>
            <w:r w:rsidR="00B65F53" w:rsidRPr="00C2785B">
              <w:t xml:space="preserve">affordable housing to be provided as part of </w:t>
            </w:r>
            <w:r w:rsidR="005F7B8A">
              <w:t xml:space="preserve">large </w:t>
            </w:r>
            <w:r w:rsidR="00B65F53" w:rsidRPr="00C2785B">
              <w:t>development</w:t>
            </w:r>
            <w:r w:rsidR="0072663B">
              <w:t xml:space="preserve"> projects</w:t>
            </w:r>
          </w:p>
        </w:tc>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7C62C9" w14:textId="77777777" w:rsidR="00B65F53" w:rsidRPr="00C2785B" w:rsidRDefault="00B65F53" w:rsidP="001A360F">
            <w:pPr>
              <w:spacing w:after="160" w:line="259" w:lineRule="auto"/>
            </w:pPr>
            <w:r w:rsidRPr="00C2785B">
              <w:t xml:space="preserve">Urban Planning </w:t>
            </w:r>
          </w:p>
          <w:p w14:paraId="5BE69EB2" w14:textId="1A33111A" w:rsidR="00B65F53" w:rsidRPr="00C2785B" w:rsidRDefault="00966652" w:rsidP="001A360F">
            <w:pPr>
              <w:spacing w:after="160" w:line="259" w:lineRule="auto"/>
            </w:pPr>
            <w:r>
              <w:t>Affordable Housing</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962FF29" w14:textId="77777777" w:rsidR="00B65F53" w:rsidRPr="00C2785B" w:rsidRDefault="00B65F53" w:rsidP="001A360F">
            <w:pPr>
              <w:spacing w:after="160" w:line="259" w:lineRule="auto"/>
            </w:pPr>
            <w:r w:rsidRPr="00C2785B">
              <w:t>X</w:t>
            </w:r>
          </w:p>
          <w:p w14:paraId="25E3A256" w14:textId="77777777" w:rsidR="00B65F53" w:rsidRPr="00C2785B" w:rsidRDefault="00B65F53" w:rsidP="001A360F">
            <w:pPr>
              <w:spacing w:after="160" w:line="259" w:lineRule="auto"/>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8D779F0" w14:textId="77777777" w:rsidR="00B65F53" w:rsidRPr="00C2785B" w:rsidRDefault="00B65F53" w:rsidP="001A360F">
            <w:pPr>
              <w:spacing w:after="160" w:line="259" w:lineRule="auto"/>
            </w:pPr>
            <w:r w:rsidRPr="00C2785B">
              <w:t>X</w:t>
            </w:r>
          </w:p>
          <w:p w14:paraId="6D6DA49B" w14:textId="77777777" w:rsidR="00B65F53" w:rsidRPr="00C2785B" w:rsidRDefault="00B65F53" w:rsidP="001A360F">
            <w:pPr>
              <w:spacing w:after="160" w:line="259" w:lineRule="auto"/>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2250C5E5" w14:textId="77777777" w:rsidR="00B65F53" w:rsidRPr="00C2785B" w:rsidRDefault="00B65F53" w:rsidP="001A360F">
            <w:pPr>
              <w:spacing w:after="160" w:line="259" w:lineRule="auto"/>
            </w:pPr>
            <w:r w:rsidRPr="00C2785B">
              <w:t>X</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FC4B823" w14:textId="77777777" w:rsidR="00B65F53" w:rsidRPr="00C2785B" w:rsidRDefault="00B65F53" w:rsidP="001A360F">
            <w:pPr>
              <w:spacing w:after="160" w:line="259" w:lineRule="auto"/>
            </w:pPr>
            <w:r w:rsidRPr="00C2785B">
              <w:t>X</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D8D74F" w14:textId="21DDC2AA" w:rsidR="00B65F53" w:rsidRPr="00C2785B" w:rsidRDefault="00317E7E" w:rsidP="001A360F">
            <w:pPr>
              <w:spacing w:after="160" w:line="259" w:lineRule="auto"/>
            </w:pPr>
            <w:r>
              <w:t xml:space="preserve">Existing staff and </w:t>
            </w:r>
            <w:r w:rsidR="00826D68">
              <w:t>unit</w:t>
            </w:r>
            <w:r>
              <w:t xml:space="preserve"> budget</w:t>
            </w:r>
          </w:p>
        </w:tc>
      </w:tr>
      <w:tr w:rsidR="00A54879" w:rsidRPr="00FA5C60" w14:paraId="6CF63B87" w14:textId="77777777" w:rsidTr="00AE743E">
        <w:trPr>
          <w:trHeight w:val="983"/>
        </w:trPr>
        <w:tc>
          <w:tcPr>
            <w:tcW w:w="226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3563C4" w14:textId="77777777" w:rsidR="00B65F53" w:rsidRPr="00FA5C60" w:rsidRDefault="00B65F53" w:rsidP="001A360F">
            <w:pPr>
              <w:rPr>
                <w:b/>
                <w:bCs/>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A889E5" w14:textId="54547991" w:rsidR="0056081F" w:rsidRDefault="00013C0D" w:rsidP="001A360F">
            <w:r>
              <w:t>Revise affordable housing</w:t>
            </w:r>
            <w:r w:rsidR="00282650">
              <w:t xml:space="preserve"> internal</w:t>
            </w:r>
            <w:r w:rsidR="00502242">
              <w:t xml:space="preserve"> referral</w:t>
            </w:r>
            <w:r>
              <w:t xml:space="preserve"> </w:t>
            </w:r>
            <w:r w:rsidR="0056081F">
              <w:t xml:space="preserve">protocol </w:t>
            </w:r>
            <w:r>
              <w:t xml:space="preserve">to </w:t>
            </w:r>
            <w:r w:rsidR="0056081F">
              <w:t>include</w:t>
            </w:r>
            <w:r w:rsidR="00B65F53" w:rsidRPr="00991653">
              <w:t xml:space="preserve"> </w:t>
            </w:r>
          </w:p>
          <w:p w14:paraId="047258FB" w14:textId="3B567395" w:rsidR="0056081F" w:rsidRPr="0056081F" w:rsidRDefault="00B65F53" w:rsidP="001A360F">
            <w:pPr>
              <w:pStyle w:val="ListParagraph"/>
              <w:numPr>
                <w:ilvl w:val="0"/>
                <w:numId w:val="18"/>
              </w:numPr>
            </w:pPr>
            <w:r w:rsidRPr="00CF49AF">
              <w:t xml:space="preserve">triggers for expert internal and external advice in affordable housing </w:t>
            </w:r>
            <w:r w:rsidRPr="0056081F">
              <w:t>negotiations</w:t>
            </w:r>
            <w:r w:rsidR="00013C0D" w:rsidRPr="0056081F">
              <w:t xml:space="preserve"> </w:t>
            </w:r>
          </w:p>
          <w:p w14:paraId="59413762" w14:textId="58C7CE00" w:rsidR="00B65F53" w:rsidRPr="00ED71B4" w:rsidRDefault="009609B6" w:rsidP="001A360F">
            <w:pPr>
              <w:pStyle w:val="ListParagraph"/>
              <w:numPr>
                <w:ilvl w:val="0"/>
                <w:numId w:val="18"/>
              </w:numPr>
            </w:pPr>
            <w:r w:rsidRPr="00AE743E">
              <w:t>Updated toolkit resource that provides technical and policy guidance to officers and applicants on affordable housing contributions</w:t>
            </w:r>
            <w:r w:rsidRPr="00ED71B4" w:rsidDel="009609B6">
              <w:t xml:space="preserve"> </w:t>
            </w:r>
          </w:p>
        </w:tc>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F29B1C" w14:textId="5EB41AA4" w:rsidR="00B65F53" w:rsidRDefault="00966652" w:rsidP="001A360F">
            <w:pPr>
              <w:spacing w:after="160" w:line="259" w:lineRule="auto"/>
            </w:pPr>
            <w:r>
              <w:t>Affordable Housing</w:t>
            </w:r>
          </w:p>
          <w:p w14:paraId="50A4EDCB" w14:textId="1CAF3942" w:rsidR="0056081F" w:rsidRPr="00AA25B9" w:rsidRDefault="0056081F" w:rsidP="001A360F">
            <w:pPr>
              <w:spacing w:after="160" w:line="259" w:lineRule="auto"/>
            </w:pPr>
            <w:r w:rsidRPr="0056081F">
              <w:t>Urban Planning</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24377AF" w14:textId="72BC4F9A" w:rsidR="00B65F53" w:rsidRPr="00AA25B9" w:rsidRDefault="00960790" w:rsidP="001A360F">
            <w:r>
              <w:t>X</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5366D7" w14:textId="3D46C1AE" w:rsidR="00B65F53" w:rsidRPr="00AA25B9" w:rsidRDefault="00B65F53" w:rsidP="001A360F"/>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79D2006" w14:textId="77777777" w:rsidR="00B65F53" w:rsidRPr="001E0F19" w:rsidRDefault="00B65F53" w:rsidP="001A360F"/>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1E23875" w14:textId="77777777" w:rsidR="00B65F53" w:rsidRPr="00344E55" w:rsidRDefault="00B65F53" w:rsidP="001A360F"/>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9CB5C6" w14:textId="0436CAD1" w:rsidR="00B65F53" w:rsidRPr="000A4FE3" w:rsidRDefault="00826D68" w:rsidP="001A360F">
            <w:r w:rsidRPr="00826D68">
              <w:t>Existing staff and unit budget</w:t>
            </w:r>
          </w:p>
        </w:tc>
      </w:tr>
      <w:tr w:rsidR="00A54879" w:rsidRPr="00FA5C60" w14:paraId="2E893A4C" w14:textId="77777777" w:rsidTr="00AE743E">
        <w:trPr>
          <w:trHeight w:val="2543"/>
        </w:trPr>
        <w:tc>
          <w:tcPr>
            <w:tcW w:w="2263" w:type="dxa"/>
            <w:vMerge/>
          </w:tcPr>
          <w:p w14:paraId="3D5698A3" w14:textId="77777777" w:rsidR="00B65F53" w:rsidRPr="00FA5C60" w:rsidRDefault="00B65F53" w:rsidP="001A360F">
            <w:pPr>
              <w:spacing w:after="160" w:line="259" w:lineRule="auto"/>
              <w:rPr>
                <w:b/>
                <w:bCs/>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FB8930" w14:textId="77777777" w:rsidR="00443C78" w:rsidRDefault="00B65F53" w:rsidP="001A360F">
            <w:pPr>
              <w:spacing w:after="160" w:line="259" w:lineRule="auto"/>
            </w:pPr>
            <w:r w:rsidRPr="00C2785B">
              <w:t>Develop a database to track affordable housing agreements and monitor outcomes</w:t>
            </w:r>
          </w:p>
          <w:p w14:paraId="3E2A82F3" w14:textId="580EB95D" w:rsidR="00387312" w:rsidRPr="00C2785B" w:rsidRDefault="00443C78" w:rsidP="001A360F">
            <w:pPr>
              <w:spacing w:after="160" w:line="259" w:lineRule="auto"/>
            </w:pPr>
            <w:r>
              <w:t xml:space="preserve">Establish a mechanism for </w:t>
            </w:r>
            <w:r w:rsidR="00826D68">
              <w:t>M9</w:t>
            </w:r>
            <w:r>
              <w:t xml:space="preserve">Councils to </w:t>
            </w:r>
            <w:r w:rsidR="00D46963">
              <w:t xml:space="preserve">share information </w:t>
            </w:r>
            <w:r>
              <w:t>about agreements and outcomes</w:t>
            </w:r>
          </w:p>
        </w:tc>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EE8707" w14:textId="420FF46B" w:rsidR="00B65F53" w:rsidRPr="00C2785B" w:rsidRDefault="00966652" w:rsidP="001A360F">
            <w:pPr>
              <w:spacing w:after="160" w:line="259" w:lineRule="auto"/>
            </w:pPr>
            <w:r>
              <w:t>Affordable Housing</w:t>
            </w:r>
          </w:p>
          <w:p w14:paraId="4C4EF17E" w14:textId="14B98570" w:rsidR="00B65F53" w:rsidRPr="00C2785B" w:rsidRDefault="00B65F53" w:rsidP="001A360F">
            <w:pPr>
              <w:spacing w:after="160" w:line="259" w:lineRule="auto"/>
            </w:pPr>
            <w:r w:rsidRPr="00C2785B">
              <w:t>Urban Planning, Strategic Planning</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B934A44" w14:textId="7D406D26" w:rsidR="00B65F53" w:rsidRPr="00C2785B" w:rsidRDefault="00960790" w:rsidP="001A360F">
            <w:pPr>
              <w:spacing w:after="160" w:line="259" w:lineRule="auto"/>
            </w:pPr>
            <w:r>
              <w:t>X</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C94BDDD" w14:textId="05ABAE88" w:rsidR="00B65F53" w:rsidRPr="00C2785B" w:rsidRDefault="00443C78" w:rsidP="001A360F">
            <w:pPr>
              <w:spacing w:after="160" w:line="259" w:lineRule="auto"/>
            </w:pPr>
            <w:r>
              <w:t>X</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14492BC" w14:textId="77777777" w:rsidR="00B65F53" w:rsidRPr="00C2785B" w:rsidRDefault="00B65F53" w:rsidP="001A360F">
            <w:pPr>
              <w:spacing w:after="160" w:line="259" w:lineRule="auto"/>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EBE3321" w14:textId="77777777" w:rsidR="00B65F53" w:rsidRPr="00C2785B" w:rsidRDefault="00B65F53" w:rsidP="001A360F">
            <w:pPr>
              <w:spacing w:after="160" w:line="259" w:lineRule="auto"/>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BC43FF" w14:textId="47EA1BFF" w:rsidR="00B65F53" w:rsidRPr="00C2785B" w:rsidRDefault="00826D68" w:rsidP="001A360F">
            <w:pPr>
              <w:spacing w:after="160" w:line="259" w:lineRule="auto"/>
            </w:pPr>
            <w:r w:rsidRPr="00826D68">
              <w:t>Existing staff and unit budget</w:t>
            </w:r>
          </w:p>
        </w:tc>
      </w:tr>
      <w:tr w:rsidR="00387312" w:rsidRPr="00FA5C60" w14:paraId="7DA0B04B" w14:textId="77777777" w:rsidTr="00AE743E">
        <w:trPr>
          <w:trHeight w:val="731"/>
        </w:trPr>
        <w:tc>
          <w:tcPr>
            <w:tcW w:w="2263" w:type="dxa"/>
            <w:shd w:val="clear" w:color="auto" w:fill="F2F2F2" w:themeFill="background1" w:themeFillShade="F2"/>
          </w:tcPr>
          <w:p w14:paraId="618E32FA" w14:textId="77777777" w:rsidR="00387312" w:rsidRPr="00FA5C60" w:rsidRDefault="00387312" w:rsidP="00387312">
            <w:pPr>
              <w:spacing w:after="160" w:line="259" w:lineRule="auto"/>
              <w:rPr>
                <w:b/>
                <w:bCs/>
              </w:rPr>
            </w:pPr>
            <w:bookmarkStart w:id="8" w:name="_Hlk111208138"/>
            <w:r w:rsidRPr="00FA5C60">
              <w:rPr>
                <w:b/>
                <w:bCs/>
              </w:rPr>
              <w:lastRenderedPageBreak/>
              <w:t xml:space="preserve">1.2 Promote excellence in </w:t>
            </w:r>
            <w:r>
              <w:rPr>
                <w:b/>
                <w:bCs/>
              </w:rPr>
              <w:t>affordable</w:t>
            </w:r>
            <w:r w:rsidRPr="00FA5C60">
              <w:rPr>
                <w:b/>
                <w:bCs/>
              </w:rPr>
              <w:t xml:space="preserve"> housing</w:t>
            </w:r>
          </w:p>
          <w:p w14:paraId="27468899" w14:textId="77777777" w:rsidR="00387312" w:rsidRPr="00FA5C60" w:rsidRDefault="00387312" w:rsidP="00387312">
            <w:pPr>
              <w:spacing w:after="160" w:line="259" w:lineRule="auto"/>
              <w:rPr>
                <w:b/>
                <w:bCs/>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5823A9" w14:textId="7B40DF19" w:rsidR="00387312" w:rsidRPr="00D11A05" w:rsidRDefault="00387312" w:rsidP="00387312">
            <w:pPr>
              <w:spacing w:after="160" w:line="259" w:lineRule="auto"/>
            </w:pPr>
            <w:r w:rsidRPr="00D11A05">
              <w:rPr>
                <w:rFonts w:cs="Times New Roman"/>
              </w:rPr>
              <w:t>Develop and promote guidance for good design outcomes for social and affordable housing informed by the specific needs of residents (</w:t>
            </w:r>
            <w:r w:rsidR="00F027BC" w:rsidRPr="00D11A05">
              <w:rPr>
                <w:rFonts w:cs="Times New Roman"/>
              </w:rPr>
              <w:t>e.g.,</w:t>
            </w:r>
            <w:r w:rsidRPr="00D11A05">
              <w:rPr>
                <w:rFonts w:cs="Times New Roman"/>
              </w:rPr>
              <w:t xml:space="preserve"> </w:t>
            </w:r>
            <w:r>
              <w:t>o</w:t>
            </w:r>
            <w:r w:rsidRPr="00D11A05">
              <w:rPr>
                <w:rFonts w:cs="Times New Roman"/>
              </w:rPr>
              <w:t>lder women, First Nations, People living with mental illness)</w:t>
            </w:r>
            <w:r>
              <w:rPr>
                <w:rFonts w:cs="Times New Roman"/>
              </w:rPr>
              <w:t>.</w:t>
            </w:r>
          </w:p>
          <w:p w14:paraId="57F31F03" w14:textId="4503CC12" w:rsidR="00387312" w:rsidRPr="00C2785B" w:rsidRDefault="00387312" w:rsidP="00387312">
            <w:pPr>
              <w:spacing w:after="160" w:line="259" w:lineRule="auto"/>
            </w:pPr>
          </w:p>
        </w:tc>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89CC7D" w14:textId="77777777" w:rsidR="00387312" w:rsidRPr="00C2785B" w:rsidRDefault="00387312" w:rsidP="00387312">
            <w:pPr>
              <w:spacing w:after="160" w:line="259" w:lineRule="auto"/>
            </w:pPr>
            <w:r w:rsidRPr="00C2785B">
              <w:t>Urban Design</w:t>
            </w:r>
          </w:p>
          <w:p w14:paraId="391CE475" w14:textId="6EDFD12B" w:rsidR="00387312" w:rsidRDefault="00966652" w:rsidP="00387312">
            <w:pPr>
              <w:spacing w:after="160" w:line="259" w:lineRule="auto"/>
            </w:pPr>
            <w:r>
              <w:t>Affordable Housing</w:t>
            </w:r>
          </w:p>
          <w:p w14:paraId="098894A4" w14:textId="4B9F778C" w:rsidR="00387312" w:rsidRDefault="00387312" w:rsidP="00387312">
            <w:pPr>
              <w:spacing w:after="160" w:line="259" w:lineRule="auto"/>
            </w:pPr>
            <w:r w:rsidRPr="00C2785B">
              <w:t>Urban Planning</w:t>
            </w:r>
          </w:p>
          <w:p w14:paraId="5EB4EC4D" w14:textId="7D282E63" w:rsidR="00387312" w:rsidRPr="00C2785B" w:rsidRDefault="00387312" w:rsidP="00387312">
            <w:pPr>
              <w:spacing w:after="160" w:line="259" w:lineRule="auto"/>
            </w:pPr>
            <w:r w:rsidRPr="00C2785B">
              <w:t>Strategic Planning</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DDA3C0F" w14:textId="3F7DF388" w:rsidR="00387312" w:rsidRPr="00C2785B" w:rsidRDefault="00387312" w:rsidP="00387312">
            <w:pPr>
              <w:spacing w:after="160" w:line="259" w:lineRule="auto"/>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83EEF7B" w14:textId="5DF471C2" w:rsidR="00387312" w:rsidRPr="00C2785B" w:rsidRDefault="00387312" w:rsidP="00387312">
            <w:pPr>
              <w:spacing w:after="160" w:line="259" w:lineRule="auto"/>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417607F7" w14:textId="312FF167" w:rsidR="00387312" w:rsidRPr="00C2785B" w:rsidRDefault="00387312" w:rsidP="00387312">
            <w:pPr>
              <w:spacing w:after="160" w:line="259" w:lineRule="auto"/>
            </w:pPr>
            <w:r>
              <w:t>X</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81C771A" w14:textId="174CDBA8" w:rsidR="00387312" w:rsidRPr="00C2785B" w:rsidRDefault="00387312" w:rsidP="00387312">
            <w:pPr>
              <w:spacing w:after="160" w:line="259" w:lineRule="auto"/>
            </w:pPr>
            <w:r>
              <w:t>X</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1221A0" w14:textId="02BBBDA5" w:rsidR="00387312" w:rsidRPr="00C2785B" w:rsidRDefault="00826D68" w:rsidP="00387312">
            <w:pPr>
              <w:spacing w:after="160" w:line="259" w:lineRule="auto"/>
            </w:pPr>
            <w:r w:rsidRPr="00826D68">
              <w:t>Existing staff and unit budget</w:t>
            </w:r>
          </w:p>
        </w:tc>
      </w:tr>
      <w:tr w:rsidR="00826D68" w:rsidRPr="00FA5C60" w14:paraId="7540EC38" w14:textId="77777777" w:rsidTr="001A360F">
        <w:trPr>
          <w:trHeight w:val="731"/>
        </w:trPr>
        <w:tc>
          <w:tcPr>
            <w:tcW w:w="2263" w:type="dxa"/>
            <w:shd w:val="clear" w:color="auto" w:fill="F2F2F2" w:themeFill="background1" w:themeFillShade="F2"/>
          </w:tcPr>
          <w:p w14:paraId="4C9E0DCE" w14:textId="77777777" w:rsidR="006A05D7" w:rsidRDefault="00826D68" w:rsidP="00387312">
            <w:pPr>
              <w:spacing w:line="259" w:lineRule="auto"/>
              <w:rPr>
                <w:b/>
                <w:bCs/>
              </w:rPr>
            </w:pPr>
            <w:r>
              <w:rPr>
                <w:b/>
                <w:bCs/>
              </w:rPr>
              <w:t xml:space="preserve">1.3 Promote </w:t>
            </w:r>
          </w:p>
          <w:p w14:paraId="300D8463" w14:textId="058C695B" w:rsidR="00826D68" w:rsidRPr="00FA5C60" w:rsidRDefault="006A05D7" w:rsidP="00387312">
            <w:pPr>
              <w:spacing w:line="259" w:lineRule="auto"/>
              <w:rPr>
                <w:b/>
                <w:bCs/>
              </w:rPr>
            </w:pPr>
            <w:r>
              <w:rPr>
                <w:b/>
                <w:bCs/>
              </w:rPr>
              <w:t>a</w:t>
            </w:r>
            <w:r w:rsidR="00826D68">
              <w:rPr>
                <w:b/>
                <w:bCs/>
              </w:rPr>
              <w:t>ccessi</w:t>
            </w:r>
            <w:r>
              <w:rPr>
                <w:b/>
                <w:bCs/>
              </w:rPr>
              <w:t>b</w:t>
            </w:r>
            <w:r w:rsidR="00826D68">
              <w:rPr>
                <w:b/>
                <w:bCs/>
              </w:rPr>
              <w:t>ility</w:t>
            </w:r>
            <w:r>
              <w:rPr>
                <w:b/>
                <w:bCs/>
              </w:rPr>
              <w:t xml:space="preserve"> requirements in new dwellings</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9C963F" w14:textId="1308511C" w:rsidR="00826D68" w:rsidRPr="00D11A05" w:rsidRDefault="006A05D7" w:rsidP="00387312">
            <w:pPr>
              <w:spacing w:line="259" w:lineRule="auto"/>
            </w:pPr>
            <w:r>
              <w:t>Implement National Construction Code requirements</w:t>
            </w:r>
          </w:p>
        </w:tc>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3C0B05" w14:textId="77777777" w:rsidR="00826D68" w:rsidRPr="00C2785B" w:rsidRDefault="00826D68" w:rsidP="00826D68">
            <w:pPr>
              <w:spacing w:after="160" w:line="259" w:lineRule="auto"/>
            </w:pPr>
            <w:r w:rsidRPr="00C2785B">
              <w:t>Urban Design</w:t>
            </w:r>
          </w:p>
          <w:p w14:paraId="387FA252" w14:textId="0ADA3B22" w:rsidR="00826D68" w:rsidRDefault="00966652" w:rsidP="00826D68">
            <w:pPr>
              <w:spacing w:after="160" w:line="259" w:lineRule="auto"/>
            </w:pPr>
            <w:r>
              <w:t>Affordable Housing</w:t>
            </w:r>
          </w:p>
          <w:p w14:paraId="13830606" w14:textId="77777777" w:rsidR="00826D68" w:rsidRDefault="00826D68" w:rsidP="00826D68">
            <w:pPr>
              <w:spacing w:after="160" w:line="259" w:lineRule="auto"/>
            </w:pPr>
            <w:r w:rsidRPr="00C2785B">
              <w:t>Urban Planning</w:t>
            </w:r>
          </w:p>
          <w:p w14:paraId="3F3C9EEB" w14:textId="248ACCAD" w:rsidR="00826D68" w:rsidRPr="00C2785B" w:rsidRDefault="00826D68" w:rsidP="00826D68">
            <w:pPr>
              <w:spacing w:line="259" w:lineRule="auto"/>
            </w:pPr>
            <w:r w:rsidRPr="00C2785B">
              <w:t>Strategic Planning</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3A96169" w14:textId="77777777" w:rsidR="00826D68" w:rsidRPr="00C2785B" w:rsidRDefault="00826D68" w:rsidP="00387312">
            <w:pPr>
              <w:spacing w:line="259" w:lineRule="auto"/>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40AA9EC" w14:textId="194D6E3B" w:rsidR="00826D68" w:rsidRPr="00C2785B" w:rsidRDefault="006A05D7" w:rsidP="00387312">
            <w:pPr>
              <w:spacing w:line="259" w:lineRule="auto"/>
            </w:pPr>
            <w:r>
              <w:t>X</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825A618" w14:textId="4A8A8E3F" w:rsidR="00826D68" w:rsidRDefault="006A05D7" w:rsidP="00387312">
            <w:pPr>
              <w:spacing w:line="259" w:lineRule="auto"/>
            </w:pPr>
            <w:r>
              <w:t>X</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76194A7" w14:textId="407FE54C" w:rsidR="00826D68" w:rsidRDefault="006A05D7" w:rsidP="00387312">
            <w:pPr>
              <w:spacing w:line="259" w:lineRule="auto"/>
            </w:pPr>
            <w:r>
              <w:t>X</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908B67" w14:textId="454F5F77" w:rsidR="00826D68" w:rsidRPr="00826D68" w:rsidRDefault="00826D68" w:rsidP="00387312">
            <w:pPr>
              <w:spacing w:line="259" w:lineRule="auto"/>
            </w:pPr>
            <w:r w:rsidRPr="00826D68">
              <w:t>Existing staff and unit budget</w:t>
            </w:r>
          </w:p>
        </w:tc>
      </w:tr>
      <w:bookmarkEnd w:id="8"/>
      <w:tr w:rsidR="00387312" w:rsidRPr="00FA5C60" w14:paraId="50B9893C" w14:textId="77777777" w:rsidTr="00AE743E">
        <w:trPr>
          <w:trHeight w:val="417"/>
        </w:trPr>
        <w:tc>
          <w:tcPr>
            <w:tcW w:w="226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341A70" w14:textId="77670448" w:rsidR="00387312" w:rsidRPr="00FA5C60" w:rsidRDefault="00387312" w:rsidP="00387312">
            <w:pPr>
              <w:spacing w:after="160" w:line="259" w:lineRule="auto"/>
              <w:rPr>
                <w:b/>
                <w:bCs/>
              </w:rPr>
            </w:pPr>
            <w:r w:rsidRPr="00FA5C60">
              <w:rPr>
                <w:b/>
                <w:bCs/>
              </w:rPr>
              <w:t>1.</w:t>
            </w:r>
            <w:r w:rsidR="00ED71B4">
              <w:rPr>
                <w:b/>
                <w:bCs/>
              </w:rPr>
              <w:t>4</w:t>
            </w:r>
            <w:r w:rsidRPr="00FA5C60">
              <w:rPr>
                <w:b/>
                <w:bCs/>
              </w:rPr>
              <w:t xml:space="preserve"> Promote affordable housing opportunities in strategic land use planning </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E6EFCF" w14:textId="0FE04762" w:rsidR="00387312" w:rsidRPr="00C2785B" w:rsidRDefault="00387312" w:rsidP="00387312">
            <w:pPr>
              <w:spacing w:after="160" w:line="259" w:lineRule="auto"/>
            </w:pPr>
            <w:r w:rsidRPr="00C2785B">
              <w:t>Investigate opportunities to support growth of affordable housing provision in activity centres</w:t>
            </w:r>
          </w:p>
        </w:tc>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8AD016" w14:textId="77777777" w:rsidR="00387312" w:rsidRPr="00C2785B" w:rsidRDefault="00387312" w:rsidP="00387312">
            <w:pPr>
              <w:spacing w:after="160" w:line="259" w:lineRule="auto"/>
            </w:pPr>
            <w:r w:rsidRPr="00C2785B">
              <w:t>Strategic Planning</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C5DA773" w14:textId="3791F4BE" w:rsidR="00387312" w:rsidRPr="00C2785B" w:rsidRDefault="00387312" w:rsidP="00387312">
            <w:pPr>
              <w:spacing w:after="160" w:line="259" w:lineRule="auto"/>
            </w:pPr>
            <w:r>
              <w:t>X</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FED96E1" w14:textId="460DA7A5" w:rsidR="00387312" w:rsidRPr="00C2785B" w:rsidRDefault="00387312" w:rsidP="00387312">
            <w:pPr>
              <w:spacing w:after="160" w:line="259" w:lineRule="auto"/>
            </w:pPr>
            <w:r>
              <w:t>X</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8C2271A" w14:textId="77777777" w:rsidR="00387312" w:rsidRPr="00C2785B" w:rsidRDefault="00387312" w:rsidP="00387312">
            <w:pPr>
              <w:spacing w:after="160" w:line="259" w:lineRule="auto"/>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B6309D3" w14:textId="77777777" w:rsidR="00387312" w:rsidRPr="00C2785B" w:rsidRDefault="00387312" w:rsidP="00387312">
            <w:pPr>
              <w:spacing w:after="160" w:line="259" w:lineRule="auto"/>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7CEDBF" w14:textId="461C37D8" w:rsidR="00387312" w:rsidRPr="00C2785B" w:rsidRDefault="006A05D7" w:rsidP="00387312">
            <w:pPr>
              <w:spacing w:after="160" w:line="259" w:lineRule="auto"/>
            </w:pPr>
            <w:r w:rsidRPr="006A05D7">
              <w:t>Existing staff and unit budget</w:t>
            </w:r>
          </w:p>
        </w:tc>
      </w:tr>
      <w:tr w:rsidR="00387312" w:rsidRPr="00FA5C60" w14:paraId="5899A708" w14:textId="77777777" w:rsidTr="00AE743E">
        <w:trPr>
          <w:trHeight w:val="918"/>
        </w:trPr>
        <w:tc>
          <w:tcPr>
            <w:tcW w:w="2263" w:type="dxa"/>
            <w:vMerge/>
          </w:tcPr>
          <w:p w14:paraId="78D29C42" w14:textId="77777777" w:rsidR="00387312" w:rsidRPr="00FA5C60" w:rsidRDefault="00387312" w:rsidP="00387312">
            <w:pPr>
              <w:spacing w:after="160" w:line="259" w:lineRule="auto"/>
              <w:rPr>
                <w:b/>
                <w:bCs/>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0005E0" w14:textId="77777777" w:rsidR="00387312" w:rsidRDefault="00387312" w:rsidP="00387312">
            <w:pPr>
              <w:spacing w:after="160" w:line="259" w:lineRule="auto"/>
            </w:pPr>
            <w:r w:rsidRPr="00C2785B">
              <w:t>Negotiate agreements for affordable housing</w:t>
            </w:r>
            <w:r>
              <w:t xml:space="preserve"> from</w:t>
            </w:r>
            <w:r w:rsidRPr="00C2785B">
              <w:t xml:space="preserve"> proponent-led rezoning</w:t>
            </w:r>
            <w:r>
              <w:t xml:space="preserve"> </w:t>
            </w:r>
          </w:p>
          <w:p w14:paraId="16F0D988" w14:textId="77777777" w:rsidR="00ED71B4" w:rsidRDefault="00ED71B4" w:rsidP="00387312">
            <w:pPr>
              <w:spacing w:after="160" w:line="259" w:lineRule="auto"/>
            </w:pPr>
          </w:p>
          <w:p w14:paraId="42C18B89" w14:textId="47EE2AE8" w:rsidR="00ED71B4" w:rsidRPr="00C2785B" w:rsidRDefault="00ED71B4" w:rsidP="00387312">
            <w:pPr>
              <w:spacing w:after="160" w:line="259" w:lineRule="auto"/>
            </w:pPr>
          </w:p>
        </w:tc>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12CE7B" w14:textId="77777777" w:rsidR="00387312" w:rsidRPr="00C2785B" w:rsidRDefault="00387312" w:rsidP="00387312">
            <w:pPr>
              <w:spacing w:after="160" w:line="259" w:lineRule="auto"/>
            </w:pPr>
            <w:r w:rsidRPr="00C2785B">
              <w:t>Strategic Planning</w:t>
            </w:r>
          </w:p>
          <w:p w14:paraId="6A87F1A3" w14:textId="77777777" w:rsidR="00387312" w:rsidRPr="00C2785B" w:rsidRDefault="00387312" w:rsidP="00387312">
            <w:pPr>
              <w:spacing w:after="160" w:line="259" w:lineRule="auto"/>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C4DF9D0" w14:textId="38E15546" w:rsidR="00387312" w:rsidRPr="00C2785B" w:rsidRDefault="00387312" w:rsidP="00387312">
            <w:pPr>
              <w:spacing w:after="160" w:line="259" w:lineRule="auto"/>
            </w:pPr>
            <w:r>
              <w:t>X</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675AD94" w14:textId="37911E0B" w:rsidR="00387312" w:rsidRPr="00C2785B" w:rsidRDefault="00387312" w:rsidP="00387312">
            <w:pPr>
              <w:spacing w:after="160" w:line="259" w:lineRule="auto"/>
            </w:pPr>
            <w:r>
              <w:t>X</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7B90DAE8" w14:textId="553A6E00" w:rsidR="00387312" w:rsidRPr="00C2785B" w:rsidRDefault="00387312" w:rsidP="00387312">
            <w:pPr>
              <w:spacing w:after="160" w:line="259" w:lineRule="auto"/>
            </w:pPr>
            <w:r>
              <w:t>X</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F2AF5CE" w14:textId="3D9AE651" w:rsidR="00387312" w:rsidRPr="00C2785B" w:rsidRDefault="00387312" w:rsidP="00387312">
            <w:pPr>
              <w:spacing w:after="160" w:line="259" w:lineRule="auto"/>
            </w:pPr>
            <w:r>
              <w:t>X</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24E609" w14:textId="4397236C" w:rsidR="00387312" w:rsidRPr="00C2785B" w:rsidRDefault="006A05D7" w:rsidP="00387312">
            <w:pPr>
              <w:spacing w:after="160" w:line="259" w:lineRule="auto"/>
            </w:pPr>
            <w:r w:rsidRPr="006A05D7">
              <w:t>Existing staff and unit budget</w:t>
            </w:r>
            <w:r w:rsidRPr="006A05D7" w:rsidDel="006A05D7">
              <w:t xml:space="preserve"> </w:t>
            </w:r>
          </w:p>
        </w:tc>
      </w:tr>
      <w:tr w:rsidR="00387312" w:rsidRPr="00FA5C60" w14:paraId="3163063E" w14:textId="77777777" w:rsidTr="00E07CBF">
        <w:trPr>
          <w:cantSplit/>
          <w:trHeight w:val="995"/>
        </w:trPr>
        <w:tc>
          <w:tcPr>
            <w:tcW w:w="226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0CD665" w14:textId="1836CACA" w:rsidR="00387312" w:rsidRPr="00FA5C60" w:rsidRDefault="00387312" w:rsidP="00387312">
            <w:pPr>
              <w:spacing w:after="160" w:line="259" w:lineRule="auto"/>
              <w:rPr>
                <w:b/>
                <w:bCs/>
              </w:rPr>
            </w:pPr>
            <w:r w:rsidRPr="00FA5C60">
              <w:rPr>
                <w:b/>
                <w:bCs/>
                <w:i/>
                <w:iCs/>
              </w:rPr>
              <w:lastRenderedPageBreak/>
              <w:t>1.</w:t>
            </w:r>
            <w:r w:rsidR="00ED71B4">
              <w:rPr>
                <w:b/>
                <w:bCs/>
                <w:i/>
                <w:iCs/>
              </w:rPr>
              <w:t>5</w:t>
            </w:r>
            <w:r w:rsidRPr="00FA5C60">
              <w:rPr>
                <w:b/>
                <w:bCs/>
                <w:i/>
                <w:iCs/>
              </w:rPr>
              <w:t xml:space="preserve"> </w:t>
            </w:r>
            <w:r w:rsidRPr="00FA5C60">
              <w:rPr>
                <w:b/>
                <w:bCs/>
              </w:rPr>
              <w:t xml:space="preserve">Support registered housing providers and other non-profit housing projects </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8997C4" w14:textId="6B3B1C6B" w:rsidR="00387312" w:rsidRPr="00C2785B" w:rsidRDefault="00387312" w:rsidP="00387312">
            <w:pPr>
              <w:spacing w:after="160" w:line="259" w:lineRule="auto"/>
            </w:pPr>
            <w:r w:rsidRPr="00C2785B">
              <w:t xml:space="preserve">Assist registered housing agencies and non-profit affordable housing in navigating </w:t>
            </w:r>
            <w:r>
              <w:t xml:space="preserve">their projects through </w:t>
            </w:r>
            <w:r w:rsidRPr="00C2785B">
              <w:t xml:space="preserve"> </w:t>
            </w:r>
            <w:r>
              <w:t xml:space="preserve">the </w:t>
            </w:r>
            <w:r w:rsidRPr="00C2785B">
              <w:t xml:space="preserve">planning system </w:t>
            </w:r>
          </w:p>
        </w:tc>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900115" w14:textId="77777777" w:rsidR="00387312" w:rsidRPr="00C2785B" w:rsidRDefault="00387312" w:rsidP="00387312">
            <w:pPr>
              <w:spacing w:after="160" w:line="259" w:lineRule="auto"/>
            </w:pPr>
            <w:r w:rsidRPr="00C2785B">
              <w:t>Urban Planning</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0867C63" w14:textId="7A8295FA" w:rsidR="00387312" w:rsidRPr="00C2785B" w:rsidRDefault="00387312" w:rsidP="00387312">
            <w:pPr>
              <w:spacing w:after="160" w:line="259" w:lineRule="auto"/>
            </w:pPr>
            <w:r>
              <w:t>X</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25EC22D" w14:textId="7EC08EE1" w:rsidR="00387312" w:rsidRPr="00C2785B" w:rsidRDefault="00387312" w:rsidP="00387312">
            <w:pPr>
              <w:spacing w:after="160" w:line="259" w:lineRule="auto"/>
            </w:pPr>
            <w:r>
              <w:t>X</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284BF484" w14:textId="3C363FB4" w:rsidR="00387312" w:rsidRPr="00C2785B" w:rsidRDefault="00387312" w:rsidP="00387312">
            <w:pPr>
              <w:spacing w:after="160" w:line="259" w:lineRule="auto"/>
            </w:pPr>
            <w:r>
              <w:t>X</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4F04054" w14:textId="0836C0E0" w:rsidR="00387312" w:rsidRPr="00C2785B" w:rsidRDefault="00387312" w:rsidP="00387312">
            <w:pPr>
              <w:spacing w:after="160" w:line="259" w:lineRule="auto"/>
            </w:pPr>
            <w:r>
              <w:t>X</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E077DD" w14:textId="090E7816" w:rsidR="00387312" w:rsidRPr="00C2785B" w:rsidRDefault="006A05D7" w:rsidP="00387312">
            <w:pPr>
              <w:spacing w:after="160" w:line="259" w:lineRule="auto"/>
            </w:pPr>
            <w:r w:rsidRPr="006A05D7">
              <w:t>Existing staff and unit budget</w:t>
            </w:r>
          </w:p>
        </w:tc>
      </w:tr>
      <w:tr w:rsidR="00387312" w:rsidRPr="00FA5C60" w14:paraId="07ADEDB4" w14:textId="77777777" w:rsidTr="00AE743E">
        <w:trPr>
          <w:cantSplit/>
        </w:trPr>
        <w:tc>
          <w:tcPr>
            <w:tcW w:w="226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F351C3" w14:textId="77777777" w:rsidR="00387312" w:rsidRPr="00FA5C60" w:rsidRDefault="00387312" w:rsidP="00387312">
            <w:pPr>
              <w:spacing w:after="160" w:line="259" w:lineRule="auto"/>
              <w:rPr>
                <w:b/>
                <w:bCs/>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948C7F" w14:textId="2C140D2F" w:rsidR="00387312" w:rsidRPr="00C2785B" w:rsidRDefault="00387312" w:rsidP="000F38C9">
            <w:pPr>
              <w:spacing w:line="259" w:lineRule="auto"/>
            </w:pPr>
            <w:r>
              <w:t xml:space="preserve">Explore statutory fees refunds </w:t>
            </w:r>
            <w:r w:rsidRPr="00C2785B">
              <w:t xml:space="preserve">for registered housing agencies and non-profit affordable housing </w:t>
            </w:r>
            <w:r>
              <w:t>led developments</w:t>
            </w:r>
            <w:r w:rsidRPr="00C2785B">
              <w:t xml:space="preserve"> including:</w:t>
            </w:r>
          </w:p>
          <w:p w14:paraId="38DE91C5" w14:textId="5A1BA6CE" w:rsidR="00387312" w:rsidRPr="00C2785B" w:rsidRDefault="00387312" w:rsidP="000F38C9">
            <w:pPr>
              <w:numPr>
                <w:ilvl w:val="0"/>
                <w:numId w:val="10"/>
              </w:numPr>
              <w:suppressAutoHyphens w:val="0"/>
              <w:spacing w:line="259" w:lineRule="auto"/>
            </w:pPr>
            <w:r w:rsidRPr="00C2785B">
              <w:t xml:space="preserve">Reimbursement of </w:t>
            </w:r>
            <w:r>
              <w:t>P</w:t>
            </w:r>
            <w:r w:rsidRPr="00C2785B">
              <w:t>lanning fees</w:t>
            </w:r>
            <w:r>
              <w:t xml:space="preserve"> and waiving of other construction related application fees or charges</w:t>
            </w:r>
            <w:r w:rsidRPr="00C2785B">
              <w:t xml:space="preserve"> for registered housing provider- led development</w:t>
            </w:r>
          </w:p>
          <w:p w14:paraId="2A1F69DA" w14:textId="2097A0F8" w:rsidR="00387312" w:rsidRPr="002F311A" w:rsidRDefault="00387312" w:rsidP="000F38C9">
            <w:pPr>
              <w:numPr>
                <w:ilvl w:val="0"/>
                <w:numId w:val="10"/>
              </w:numPr>
              <w:suppressAutoHyphens w:val="0"/>
              <w:spacing w:line="259" w:lineRule="auto"/>
            </w:pPr>
            <w:r>
              <w:t xml:space="preserve">public </w:t>
            </w:r>
            <w:r w:rsidRPr="00C2785B">
              <w:t xml:space="preserve">open space contribution </w:t>
            </w:r>
            <w:r>
              <w:t>and developer contribution plans in future planning scheme amendment processes</w:t>
            </w:r>
          </w:p>
        </w:tc>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3D1CEC" w14:textId="3AD25E07" w:rsidR="00387312" w:rsidRDefault="00966652" w:rsidP="00387312">
            <w:pPr>
              <w:spacing w:after="160" w:line="259" w:lineRule="auto"/>
            </w:pPr>
            <w:r>
              <w:t>Affordable Housing</w:t>
            </w:r>
          </w:p>
          <w:p w14:paraId="4F72675A" w14:textId="660BEF1B" w:rsidR="00387312" w:rsidRDefault="00387312" w:rsidP="00387312">
            <w:pPr>
              <w:spacing w:after="160" w:line="259" w:lineRule="auto"/>
            </w:pPr>
            <w:r>
              <w:t>Strategy Planning</w:t>
            </w:r>
          </w:p>
          <w:p w14:paraId="72E0D81D" w14:textId="780BB265" w:rsidR="00387312" w:rsidRDefault="00387312" w:rsidP="00387312">
            <w:pPr>
              <w:spacing w:after="160" w:line="259" w:lineRule="auto"/>
            </w:pPr>
            <w:r>
              <w:t>Urban Planning</w:t>
            </w:r>
          </w:p>
          <w:p w14:paraId="55533AA6" w14:textId="50EC81D1" w:rsidR="00387312" w:rsidRPr="00C2785B" w:rsidRDefault="00387312" w:rsidP="00387312">
            <w:pPr>
              <w:spacing w:after="160" w:line="259" w:lineRule="auto"/>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4FDDA87" w14:textId="7566ECAB" w:rsidR="00387312" w:rsidRPr="00C2785B" w:rsidRDefault="00387312" w:rsidP="00387312">
            <w:pPr>
              <w:spacing w:after="160" w:line="259" w:lineRule="auto"/>
            </w:pPr>
            <w:r>
              <w:t>X</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9B56048" w14:textId="08925F8D" w:rsidR="00387312" w:rsidRPr="00C2785B" w:rsidRDefault="00387312" w:rsidP="00387312">
            <w:pPr>
              <w:spacing w:after="160" w:line="259" w:lineRule="auto"/>
            </w:pPr>
            <w:r>
              <w:t>X</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4E3B9215" w14:textId="72684869" w:rsidR="00387312" w:rsidRPr="00C2785B" w:rsidRDefault="00387312" w:rsidP="00387312">
            <w:pPr>
              <w:spacing w:after="160" w:line="259" w:lineRule="auto"/>
            </w:pPr>
            <w:r>
              <w:t>X</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E6006FE" w14:textId="25AEDA15" w:rsidR="00387312" w:rsidRPr="00C2785B" w:rsidRDefault="00387312" w:rsidP="00387312">
            <w:pPr>
              <w:spacing w:after="160" w:line="259" w:lineRule="auto"/>
            </w:pPr>
            <w:r>
              <w:t>X</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F93689" w14:textId="513F67FD" w:rsidR="00387312" w:rsidRPr="00C2785B" w:rsidRDefault="006A05D7" w:rsidP="00387312">
            <w:pPr>
              <w:spacing w:after="160" w:line="259" w:lineRule="auto"/>
            </w:pPr>
            <w:r w:rsidRPr="006A05D7">
              <w:t>Existing staff and unit budget</w:t>
            </w:r>
          </w:p>
        </w:tc>
      </w:tr>
      <w:tr w:rsidR="00387312" w:rsidRPr="00FA5C60" w14:paraId="1AC319CA" w14:textId="77777777" w:rsidTr="00AE743E">
        <w:trPr>
          <w:trHeight w:val="1455"/>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84D441" w14:textId="740710F9" w:rsidR="00387312" w:rsidRPr="00FA5C60" w:rsidRDefault="00387312" w:rsidP="00387312">
            <w:pPr>
              <w:spacing w:after="160" w:line="259" w:lineRule="auto"/>
              <w:rPr>
                <w:b/>
                <w:bCs/>
              </w:rPr>
            </w:pPr>
            <w:r w:rsidRPr="00FA5C60">
              <w:rPr>
                <w:b/>
                <w:bCs/>
              </w:rPr>
              <w:t>1.</w:t>
            </w:r>
            <w:r w:rsidR="00ED71B4">
              <w:rPr>
                <w:b/>
                <w:bCs/>
              </w:rPr>
              <w:t>6</w:t>
            </w:r>
            <w:r w:rsidRPr="00FA5C60">
              <w:rPr>
                <w:b/>
                <w:bCs/>
              </w:rPr>
              <w:t xml:space="preserve"> Build </w:t>
            </w:r>
            <w:r>
              <w:rPr>
                <w:b/>
                <w:bCs/>
              </w:rPr>
              <w:t xml:space="preserve">Councillor, </w:t>
            </w:r>
            <w:r w:rsidRPr="00FA5C60">
              <w:rPr>
                <w:b/>
                <w:bCs/>
              </w:rPr>
              <w:t xml:space="preserve">officer and stakeholder capacity, especially with new development models </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C57C96" w14:textId="1D27F140" w:rsidR="00387312" w:rsidRPr="00766C30" w:rsidRDefault="00387312" w:rsidP="00766C30">
            <w:pPr>
              <w:pStyle w:val="ListParagraph"/>
              <w:numPr>
                <w:ilvl w:val="0"/>
                <w:numId w:val="33"/>
              </w:numPr>
              <w:spacing w:line="259" w:lineRule="auto"/>
            </w:pPr>
            <w:r w:rsidRPr="00766C30">
              <w:t>Support ongoing training for staff to facilitate affordable housing outcomes</w:t>
            </w:r>
          </w:p>
          <w:p w14:paraId="205EE0F2" w14:textId="5D6C4D68" w:rsidR="00387312" w:rsidRPr="00766C30" w:rsidRDefault="00387312" w:rsidP="00766C30">
            <w:pPr>
              <w:pStyle w:val="ListParagraph"/>
              <w:numPr>
                <w:ilvl w:val="0"/>
                <w:numId w:val="33"/>
              </w:numPr>
              <w:spacing w:line="259" w:lineRule="auto"/>
            </w:pPr>
            <w:r w:rsidRPr="00766C30">
              <w:t>Specific induction for new Council group</w:t>
            </w:r>
          </w:p>
          <w:p w14:paraId="559A392F" w14:textId="4E231A37" w:rsidR="00387312" w:rsidRPr="00766C30" w:rsidRDefault="00387312" w:rsidP="00766C30">
            <w:pPr>
              <w:pStyle w:val="ListParagraph"/>
              <w:numPr>
                <w:ilvl w:val="0"/>
                <w:numId w:val="33"/>
              </w:numPr>
              <w:spacing w:line="259" w:lineRule="auto"/>
            </w:pPr>
            <w:r w:rsidRPr="00766C30">
              <w:t>Affordable Housing section of Council website to include examples of agreements and outcomes to improve information sharing with housing providers and developers</w:t>
            </w:r>
          </w:p>
        </w:tc>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096045" w14:textId="1E3A3028" w:rsidR="00387312" w:rsidRDefault="00966652" w:rsidP="00387312">
            <w:pPr>
              <w:spacing w:after="160" w:line="259" w:lineRule="auto"/>
            </w:pPr>
            <w:r>
              <w:t>Affordable Housing</w:t>
            </w:r>
          </w:p>
          <w:p w14:paraId="46FF417F" w14:textId="4B497B3B" w:rsidR="00387312" w:rsidRDefault="00387312" w:rsidP="00387312">
            <w:pPr>
              <w:spacing w:after="160" w:line="259" w:lineRule="auto"/>
            </w:pPr>
            <w:r w:rsidRPr="00C2785B">
              <w:t>Urban Planning</w:t>
            </w:r>
          </w:p>
          <w:p w14:paraId="0D914A44" w14:textId="6D4C208F" w:rsidR="00387312" w:rsidRDefault="00387312" w:rsidP="00387312">
            <w:pPr>
              <w:spacing w:after="160" w:line="259" w:lineRule="auto"/>
            </w:pPr>
            <w:r w:rsidRPr="00C2785B">
              <w:t>Strategic Planning</w:t>
            </w:r>
          </w:p>
          <w:p w14:paraId="1890AFDF" w14:textId="23BCE545" w:rsidR="00387312" w:rsidRPr="00C2785B" w:rsidRDefault="00387312" w:rsidP="00387312">
            <w:pPr>
              <w:spacing w:after="160" w:line="259" w:lineRule="auto"/>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1B7B1CB" w14:textId="76B8D352" w:rsidR="00387312" w:rsidRPr="00C2785B" w:rsidRDefault="00387312" w:rsidP="00387312">
            <w:pPr>
              <w:spacing w:after="160" w:line="259" w:lineRule="auto"/>
            </w:pPr>
            <w:r w:rsidRPr="00C2785B">
              <w:t>X</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F2C5990" w14:textId="2B8FE7DA" w:rsidR="00387312" w:rsidRPr="00C2785B" w:rsidRDefault="00387312" w:rsidP="00387312">
            <w:pPr>
              <w:spacing w:after="160" w:line="259" w:lineRule="auto"/>
            </w:pPr>
            <w:r w:rsidRPr="00C2785B">
              <w:t>X</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374D895" w14:textId="4ABE61CC" w:rsidR="00387312" w:rsidRPr="00C2785B" w:rsidRDefault="00387312" w:rsidP="00387312">
            <w:pPr>
              <w:spacing w:after="160" w:line="259" w:lineRule="auto"/>
            </w:pPr>
            <w:r w:rsidRPr="00C2785B">
              <w:t>X</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4A5B2DC" w14:textId="04BAB384" w:rsidR="00387312" w:rsidRPr="00C2785B" w:rsidRDefault="00387312" w:rsidP="00387312">
            <w:pPr>
              <w:spacing w:after="160" w:line="259" w:lineRule="auto"/>
            </w:pPr>
            <w:r w:rsidRPr="00C2785B">
              <w:t>X</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CB5686" w14:textId="33B19044" w:rsidR="00387312" w:rsidRPr="00C2785B" w:rsidRDefault="006A05D7" w:rsidP="00387312">
            <w:pPr>
              <w:spacing w:after="160" w:line="259" w:lineRule="auto"/>
            </w:pPr>
            <w:r w:rsidRPr="006A05D7">
              <w:t>Existing staff and unit budget</w:t>
            </w:r>
            <w:r w:rsidRPr="006A05D7" w:rsidDel="006A05D7">
              <w:t xml:space="preserve"> </w:t>
            </w:r>
          </w:p>
        </w:tc>
      </w:tr>
    </w:tbl>
    <w:p w14:paraId="56582203" w14:textId="3133490C" w:rsidR="004B5E44" w:rsidRPr="00985D27" w:rsidRDefault="00985D27" w:rsidP="00985D27">
      <w:pPr>
        <w:suppressAutoHyphens w:val="0"/>
        <w:rPr>
          <w:rFonts w:ascii="Galano Grotesque ExtraBold" w:eastAsia="Times New Roman" w:hAnsi="Galano Grotesque ExtraBold" w:cs="Arial"/>
          <w:b/>
          <w:bCs/>
          <w:iCs/>
          <w:color w:val="4472C4"/>
          <w:sz w:val="26"/>
          <w:szCs w:val="26"/>
          <w:lang w:eastAsia="en-AU"/>
        </w:rPr>
      </w:pPr>
      <w:r>
        <w:br w:type="page"/>
      </w:r>
    </w:p>
    <w:p w14:paraId="551396F9" w14:textId="12872B35" w:rsidR="00F074D0" w:rsidRDefault="00F074D0" w:rsidP="00FF569F">
      <w:pPr>
        <w:pStyle w:val="Heading2"/>
      </w:pPr>
      <w:bookmarkStart w:id="9" w:name="_Toc183183456"/>
      <w:r>
        <w:lastRenderedPageBreak/>
        <w:t xml:space="preserve">Focus Area 2 </w:t>
      </w:r>
      <w:r w:rsidR="00993B2E">
        <w:t>–</w:t>
      </w:r>
      <w:r>
        <w:t xml:space="preserve"> </w:t>
      </w:r>
      <w:r w:rsidR="00CB2309">
        <w:t>Partnership</w:t>
      </w:r>
      <w:r w:rsidR="00A50C35">
        <w:t>s</w:t>
      </w:r>
      <w:bookmarkEnd w:id="9"/>
    </w:p>
    <w:tbl>
      <w:tblPr>
        <w:tblStyle w:val="TableGrid"/>
        <w:tblW w:w="14879" w:type="dxa"/>
        <w:tblInd w:w="-431" w:type="dxa"/>
        <w:tblLook w:val="04A0" w:firstRow="1" w:lastRow="0" w:firstColumn="1" w:lastColumn="0" w:noHBand="0" w:noVBand="1"/>
      </w:tblPr>
      <w:tblGrid>
        <w:gridCol w:w="2263"/>
        <w:gridCol w:w="5670"/>
        <w:gridCol w:w="2694"/>
        <w:gridCol w:w="567"/>
        <w:gridCol w:w="708"/>
        <w:gridCol w:w="573"/>
        <w:gridCol w:w="709"/>
        <w:gridCol w:w="1695"/>
      </w:tblGrid>
      <w:tr w:rsidR="00393D82" w:rsidRPr="00FA5C60" w14:paraId="59C3BD19" w14:textId="77777777" w:rsidTr="00AE743E">
        <w:trPr>
          <w:trHeight w:val="643"/>
          <w:tblHeader/>
        </w:trPr>
        <w:tc>
          <w:tcPr>
            <w:tcW w:w="2263" w:type="dxa"/>
            <w:tcBorders>
              <w:top w:val="single" w:sz="4" w:space="0" w:color="auto"/>
              <w:left w:val="single" w:sz="4" w:space="0" w:color="auto"/>
              <w:bottom w:val="single" w:sz="4" w:space="0" w:color="auto"/>
              <w:right w:val="single" w:sz="4" w:space="0" w:color="auto"/>
            </w:tcBorders>
            <w:shd w:val="clear" w:color="auto" w:fill="0F4058" w:themeFill="accent1"/>
          </w:tcPr>
          <w:p w14:paraId="1808FCE3" w14:textId="77777777" w:rsidR="00F074D0" w:rsidRPr="00FF569F" w:rsidRDefault="00F074D0" w:rsidP="00AE743E">
            <w:pPr>
              <w:spacing w:after="160" w:line="259" w:lineRule="auto"/>
              <w:ind w:left="-103"/>
              <w:rPr>
                <w:b/>
                <w:bCs/>
                <w:color w:val="FFFFFF" w:themeColor="background1"/>
              </w:rPr>
            </w:pPr>
            <w:r w:rsidRPr="00FF569F">
              <w:rPr>
                <w:b/>
                <w:bCs/>
                <w:color w:val="FFFFFF" w:themeColor="background1"/>
              </w:rPr>
              <w:t>Action</w:t>
            </w:r>
          </w:p>
        </w:tc>
        <w:tc>
          <w:tcPr>
            <w:tcW w:w="5670" w:type="dxa"/>
            <w:tcBorders>
              <w:top w:val="single" w:sz="4" w:space="0" w:color="auto"/>
              <w:left w:val="single" w:sz="4" w:space="0" w:color="auto"/>
              <w:bottom w:val="single" w:sz="4" w:space="0" w:color="auto"/>
              <w:right w:val="single" w:sz="4" w:space="0" w:color="auto"/>
            </w:tcBorders>
            <w:shd w:val="clear" w:color="auto" w:fill="0F4058" w:themeFill="accent1"/>
          </w:tcPr>
          <w:p w14:paraId="2BDA4511" w14:textId="77777777" w:rsidR="00F074D0" w:rsidRPr="00FF569F" w:rsidRDefault="00F074D0" w:rsidP="00F074D0">
            <w:pPr>
              <w:spacing w:after="160" w:line="259" w:lineRule="auto"/>
              <w:rPr>
                <w:b/>
                <w:bCs/>
                <w:color w:val="FFFFFF" w:themeColor="background1"/>
              </w:rPr>
            </w:pPr>
            <w:r w:rsidRPr="00FF569F">
              <w:rPr>
                <w:b/>
                <w:bCs/>
                <w:color w:val="FFFFFF" w:themeColor="background1"/>
              </w:rPr>
              <w:t>Activities</w:t>
            </w:r>
          </w:p>
        </w:tc>
        <w:tc>
          <w:tcPr>
            <w:tcW w:w="2694" w:type="dxa"/>
            <w:tcBorders>
              <w:top w:val="single" w:sz="4" w:space="0" w:color="auto"/>
              <w:left w:val="single" w:sz="4" w:space="0" w:color="auto"/>
              <w:bottom w:val="single" w:sz="4" w:space="0" w:color="auto"/>
              <w:right w:val="single" w:sz="4" w:space="0" w:color="auto"/>
            </w:tcBorders>
            <w:shd w:val="clear" w:color="auto" w:fill="0F4058" w:themeFill="accent1"/>
          </w:tcPr>
          <w:p w14:paraId="6F986448" w14:textId="564CE721" w:rsidR="00F074D0" w:rsidRPr="00FF569F" w:rsidRDefault="007B0848" w:rsidP="00F074D0">
            <w:pPr>
              <w:spacing w:after="160" w:line="259" w:lineRule="auto"/>
              <w:rPr>
                <w:b/>
                <w:bCs/>
                <w:color w:val="FFFFFF" w:themeColor="background1"/>
              </w:rPr>
            </w:pPr>
            <w:r w:rsidRPr="007B0848">
              <w:rPr>
                <w:b/>
                <w:bCs/>
                <w:color w:val="FFFFFF" w:themeColor="background1"/>
              </w:rPr>
              <w:t>Lead Unit / Supporting Unit(s)</w:t>
            </w:r>
          </w:p>
        </w:tc>
        <w:tc>
          <w:tcPr>
            <w:tcW w:w="2557" w:type="dxa"/>
            <w:gridSpan w:val="4"/>
            <w:tcBorders>
              <w:top w:val="single" w:sz="4" w:space="0" w:color="auto"/>
              <w:left w:val="single" w:sz="4" w:space="0" w:color="auto"/>
              <w:bottom w:val="single" w:sz="4" w:space="0" w:color="auto"/>
              <w:right w:val="single" w:sz="4" w:space="0" w:color="auto"/>
            </w:tcBorders>
            <w:shd w:val="clear" w:color="auto" w:fill="0F4058" w:themeFill="accent1"/>
          </w:tcPr>
          <w:p w14:paraId="444C0675" w14:textId="24F7C1CA" w:rsidR="00F074D0" w:rsidRPr="00FF569F" w:rsidRDefault="00F074D0" w:rsidP="00F074D0">
            <w:pPr>
              <w:spacing w:after="160" w:line="259" w:lineRule="auto"/>
              <w:rPr>
                <w:b/>
                <w:bCs/>
                <w:color w:val="FFFFFF" w:themeColor="background1"/>
              </w:rPr>
            </w:pPr>
            <w:r w:rsidRPr="00FF569F">
              <w:rPr>
                <w:b/>
                <w:bCs/>
                <w:color w:val="FFFFFF" w:themeColor="background1"/>
              </w:rPr>
              <w:t>Timing</w:t>
            </w:r>
          </w:p>
          <w:p w14:paraId="33A08A5A" w14:textId="66C8FB19" w:rsidR="00F074D0" w:rsidRPr="00FF569F" w:rsidRDefault="00F074D0" w:rsidP="00F074D0">
            <w:pPr>
              <w:spacing w:after="160" w:line="259" w:lineRule="auto"/>
              <w:rPr>
                <w:b/>
                <w:bCs/>
                <w:color w:val="FFFFFF" w:themeColor="background1"/>
              </w:rPr>
            </w:pPr>
            <w:r w:rsidRPr="00FF569F">
              <w:rPr>
                <w:b/>
                <w:bCs/>
                <w:color w:val="FFFFFF" w:themeColor="background1"/>
              </w:rPr>
              <w:t xml:space="preserve">Y1   </w:t>
            </w:r>
            <w:r w:rsidR="007B0848">
              <w:rPr>
                <w:b/>
                <w:bCs/>
                <w:color w:val="FFFFFF" w:themeColor="background1"/>
              </w:rPr>
              <w:t xml:space="preserve">   </w:t>
            </w:r>
            <w:r w:rsidRPr="00FF569F">
              <w:rPr>
                <w:b/>
                <w:bCs/>
                <w:color w:val="FFFFFF" w:themeColor="background1"/>
              </w:rPr>
              <w:t xml:space="preserve">Y2   </w:t>
            </w:r>
            <w:r w:rsidR="007B0848">
              <w:rPr>
                <w:b/>
                <w:bCs/>
                <w:color w:val="FFFFFF" w:themeColor="background1"/>
              </w:rPr>
              <w:t xml:space="preserve">     </w:t>
            </w:r>
            <w:r w:rsidRPr="00FF569F">
              <w:rPr>
                <w:b/>
                <w:bCs/>
                <w:color w:val="FFFFFF" w:themeColor="background1"/>
              </w:rPr>
              <w:t xml:space="preserve">Y3  </w:t>
            </w:r>
            <w:r w:rsidR="007B0848">
              <w:rPr>
                <w:b/>
                <w:bCs/>
                <w:color w:val="FFFFFF" w:themeColor="background1"/>
              </w:rPr>
              <w:t xml:space="preserve">       </w:t>
            </w:r>
            <w:r w:rsidRPr="00FF569F">
              <w:rPr>
                <w:b/>
                <w:bCs/>
                <w:color w:val="FFFFFF" w:themeColor="background1"/>
              </w:rPr>
              <w:t>Y4</w:t>
            </w:r>
          </w:p>
        </w:tc>
        <w:tc>
          <w:tcPr>
            <w:tcW w:w="1695" w:type="dxa"/>
            <w:tcBorders>
              <w:top w:val="single" w:sz="4" w:space="0" w:color="auto"/>
              <w:left w:val="single" w:sz="4" w:space="0" w:color="auto"/>
              <w:bottom w:val="single" w:sz="4" w:space="0" w:color="auto"/>
              <w:right w:val="single" w:sz="4" w:space="0" w:color="auto"/>
            </w:tcBorders>
            <w:shd w:val="clear" w:color="auto" w:fill="0F4058" w:themeFill="accent1"/>
          </w:tcPr>
          <w:p w14:paraId="30E85BFD" w14:textId="77777777" w:rsidR="00F074D0" w:rsidRPr="00FF569F" w:rsidRDefault="00F074D0" w:rsidP="00F074D0">
            <w:pPr>
              <w:spacing w:after="160" w:line="259" w:lineRule="auto"/>
              <w:rPr>
                <w:b/>
                <w:bCs/>
                <w:color w:val="FFFFFF" w:themeColor="background1"/>
              </w:rPr>
            </w:pPr>
            <w:r w:rsidRPr="00FF569F">
              <w:rPr>
                <w:b/>
                <w:bCs/>
                <w:color w:val="FFFFFF" w:themeColor="background1"/>
              </w:rPr>
              <w:t>Resources</w:t>
            </w:r>
          </w:p>
          <w:p w14:paraId="5D1DC2B7" w14:textId="77777777" w:rsidR="00F074D0" w:rsidRPr="00FF569F" w:rsidRDefault="00F074D0" w:rsidP="00F074D0">
            <w:pPr>
              <w:spacing w:after="160" w:line="259" w:lineRule="auto"/>
              <w:rPr>
                <w:b/>
                <w:bCs/>
                <w:color w:val="FFFFFF" w:themeColor="background1"/>
              </w:rPr>
            </w:pPr>
          </w:p>
        </w:tc>
      </w:tr>
      <w:tr w:rsidR="00393D82" w:rsidRPr="00C2785B" w14:paraId="3D2BE693" w14:textId="77777777" w:rsidTr="00AE743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34"/>
        </w:trPr>
        <w:tc>
          <w:tcPr>
            <w:tcW w:w="2263" w:type="dxa"/>
            <w:vMerge w:val="restart"/>
            <w:tcBorders>
              <w:top w:val="single" w:sz="4" w:space="0" w:color="auto"/>
              <w:left w:val="single" w:sz="4" w:space="0" w:color="auto"/>
              <w:right w:val="single" w:sz="4" w:space="0" w:color="auto"/>
            </w:tcBorders>
            <w:shd w:val="clear" w:color="auto" w:fill="B9E0F3" w:themeFill="accent1" w:themeFillTint="33"/>
          </w:tcPr>
          <w:p w14:paraId="453A4106" w14:textId="77777777" w:rsidR="00F074D0" w:rsidRPr="00FA5C60" w:rsidRDefault="00F074D0" w:rsidP="00F074D0">
            <w:pPr>
              <w:spacing w:after="160" w:line="259" w:lineRule="auto"/>
              <w:rPr>
                <w:b/>
                <w:bCs/>
              </w:rPr>
            </w:pPr>
            <w:r w:rsidRPr="00FA5C60">
              <w:rPr>
                <w:b/>
                <w:bCs/>
              </w:rPr>
              <w:t>2.1 Support Moreland Affordable Housing Ltd (MAH) to develop</w:t>
            </w:r>
            <w:r>
              <w:rPr>
                <w:b/>
                <w:bCs/>
              </w:rPr>
              <w:t xml:space="preserve"> </w:t>
            </w:r>
            <w:r w:rsidRPr="00FA5C60">
              <w:rPr>
                <w:b/>
                <w:bCs/>
              </w:rPr>
              <w:t>affordable housing</w:t>
            </w:r>
          </w:p>
          <w:p w14:paraId="66DD4DF5" w14:textId="77777777" w:rsidR="00F074D0" w:rsidRPr="00FA5C60" w:rsidRDefault="00F074D0" w:rsidP="00F074D0">
            <w:pPr>
              <w:rPr>
                <w:b/>
                <w:bCs/>
              </w:rPr>
            </w:pPr>
          </w:p>
        </w:tc>
        <w:tc>
          <w:tcPr>
            <w:tcW w:w="5670" w:type="dxa"/>
            <w:tcBorders>
              <w:top w:val="single" w:sz="4" w:space="0" w:color="auto"/>
              <w:left w:val="single" w:sz="4" w:space="0" w:color="auto"/>
              <w:bottom w:val="single" w:sz="4" w:space="0" w:color="auto"/>
              <w:right w:val="single" w:sz="4" w:space="0" w:color="auto"/>
            </w:tcBorders>
            <w:shd w:val="clear" w:color="auto" w:fill="B9E0F3" w:themeFill="accent1" w:themeFillTint="33"/>
          </w:tcPr>
          <w:p w14:paraId="5304947B" w14:textId="3DF843D7" w:rsidR="00F074D0" w:rsidRPr="00C2785B" w:rsidRDefault="00F074D0" w:rsidP="00F074D0">
            <w:pPr>
              <w:widowControl w:val="0"/>
              <w:spacing w:after="160" w:line="259" w:lineRule="auto"/>
            </w:pPr>
            <w:r w:rsidRPr="00C2785B">
              <w:t xml:space="preserve">Support MAH and partners in achieving requirements for </w:t>
            </w:r>
            <w:r w:rsidR="00D26FBA">
              <w:t>development of</w:t>
            </w:r>
            <w:r w:rsidRPr="00C2785B">
              <w:t xml:space="preserve"> land at 2-12 Wilkinson St (planning approval and funding confirmed)</w:t>
            </w:r>
          </w:p>
        </w:tc>
        <w:tc>
          <w:tcPr>
            <w:tcW w:w="2694" w:type="dxa"/>
            <w:tcBorders>
              <w:top w:val="single" w:sz="4" w:space="0" w:color="auto"/>
              <w:left w:val="single" w:sz="4" w:space="0" w:color="auto"/>
              <w:bottom w:val="single" w:sz="4" w:space="0" w:color="auto"/>
              <w:right w:val="single" w:sz="4" w:space="0" w:color="auto"/>
            </w:tcBorders>
            <w:shd w:val="clear" w:color="auto" w:fill="B9E0F3" w:themeFill="accent1" w:themeFillTint="33"/>
          </w:tcPr>
          <w:p w14:paraId="6FBBC77A" w14:textId="3C404BE9" w:rsidR="00393D82" w:rsidRDefault="00966652" w:rsidP="00393D82">
            <w:pPr>
              <w:spacing w:after="160" w:line="259" w:lineRule="auto"/>
            </w:pPr>
            <w:r>
              <w:t>Affordable Housing</w:t>
            </w:r>
          </w:p>
          <w:p w14:paraId="71C122C6" w14:textId="4DC7DA9D" w:rsidR="00F074D0" w:rsidRPr="00C2785B" w:rsidRDefault="00F074D0" w:rsidP="00CF49AF">
            <w:pPr>
              <w:spacing w:after="160" w:line="259" w:lineRule="auto"/>
            </w:pPr>
            <w:r w:rsidRPr="00C2785B">
              <w:t>Property</w:t>
            </w:r>
            <w:r w:rsidR="00393D82">
              <w:t>,</w:t>
            </w:r>
            <w:r w:rsidRPr="00C2785B">
              <w:t xml:space="preserve"> Urban Planning</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95FFBF2" w14:textId="77777777" w:rsidR="00F074D0" w:rsidRPr="00C2785B" w:rsidRDefault="00F074D0" w:rsidP="00F074D0">
            <w:pPr>
              <w:spacing w:after="160" w:line="259" w:lineRule="auto"/>
            </w:pPr>
            <w:r w:rsidRPr="00C2785B">
              <w:t>X</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125129B1" w14:textId="6EC58067" w:rsidR="00F074D0" w:rsidRPr="00C2785B" w:rsidRDefault="006A05D7" w:rsidP="00F074D0">
            <w:pPr>
              <w:spacing w:after="160" w:line="259" w:lineRule="auto"/>
            </w:pPr>
            <w:r>
              <w:t>X</w:t>
            </w:r>
          </w:p>
        </w:tc>
        <w:tc>
          <w:tcPr>
            <w:tcW w:w="573" w:type="dxa"/>
            <w:tcBorders>
              <w:top w:val="single" w:sz="4" w:space="0" w:color="auto"/>
              <w:left w:val="single" w:sz="4" w:space="0" w:color="auto"/>
              <w:bottom w:val="single" w:sz="4" w:space="0" w:color="auto"/>
              <w:right w:val="single" w:sz="4" w:space="0" w:color="auto"/>
            </w:tcBorders>
            <w:shd w:val="clear" w:color="auto" w:fill="FFFFFF" w:themeFill="background1"/>
          </w:tcPr>
          <w:p w14:paraId="4EB9164F" w14:textId="77777777" w:rsidR="00F074D0" w:rsidRPr="00C2785B" w:rsidRDefault="00F074D0" w:rsidP="00F074D0">
            <w:pPr>
              <w:spacing w:after="160" w:line="259" w:lineRule="auto"/>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D99B895" w14:textId="77777777" w:rsidR="00F074D0" w:rsidRPr="00C2785B" w:rsidRDefault="00F074D0" w:rsidP="00F074D0">
            <w:pPr>
              <w:spacing w:after="160" w:line="259" w:lineRule="auto"/>
            </w:pPr>
          </w:p>
        </w:tc>
        <w:tc>
          <w:tcPr>
            <w:tcW w:w="1695" w:type="dxa"/>
            <w:tcBorders>
              <w:top w:val="single" w:sz="4" w:space="0" w:color="auto"/>
              <w:left w:val="single" w:sz="4" w:space="0" w:color="auto"/>
              <w:bottom w:val="single" w:sz="4" w:space="0" w:color="auto"/>
              <w:right w:val="single" w:sz="4" w:space="0" w:color="auto"/>
            </w:tcBorders>
            <w:shd w:val="clear" w:color="auto" w:fill="B9E0F3" w:themeFill="accent1" w:themeFillTint="33"/>
          </w:tcPr>
          <w:p w14:paraId="7D4AE479" w14:textId="1809EE24" w:rsidR="00F074D0" w:rsidRPr="00C2785B" w:rsidRDefault="006A05D7" w:rsidP="00F074D0">
            <w:pPr>
              <w:spacing w:after="160" w:line="259" w:lineRule="auto"/>
            </w:pPr>
            <w:r w:rsidRPr="006A05D7">
              <w:t xml:space="preserve"> Existing staff and unit budget</w:t>
            </w:r>
            <w:r w:rsidRPr="006A05D7" w:rsidDel="006A05D7">
              <w:t xml:space="preserve"> </w:t>
            </w:r>
          </w:p>
        </w:tc>
      </w:tr>
      <w:tr w:rsidR="00627C91" w:rsidRPr="00C2785B" w14:paraId="6FCFA7D9" w14:textId="77777777" w:rsidTr="00AE743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48"/>
        </w:trPr>
        <w:tc>
          <w:tcPr>
            <w:tcW w:w="2263" w:type="dxa"/>
            <w:vMerge/>
            <w:tcBorders>
              <w:left w:val="single" w:sz="4" w:space="0" w:color="auto"/>
              <w:right w:val="single" w:sz="4" w:space="0" w:color="auto"/>
            </w:tcBorders>
          </w:tcPr>
          <w:p w14:paraId="58396F8A" w14:textId="77777777" w:rsidR="00627C91" w:rsidRPr="00FA5C60" w:rsidRDefault="00627C91" w:rsidP="00627C91">
            <w:pPr>
              <w:rPr>
                <w:b/>
                <w:bCs/>
              </w:rPr>
            </w:pPr>
          </w:p>
        </w:tc>
        <w:tc>
          <w:tcPr>
            <w:tcW w:w="5670" w:type="dxa"/>
            <w:tcBorders>
              <w:top w:val="single" w:sz="4" w:space="0" w:color="auto"/>
              <w:left w:val="single" w:sz="4" w:space="0" w:color="auto"/>
              <w:bottom w:val="single" w:sz="4" w:space="0" w:color="auto"/>
              <w:right w:val="single" w:sz="4" w:space="0" w:color="auto"/>
            </w:tcBorders>
            <w:shd w:val="clear" w:color="auto" w:fill="B9E0F3" w:themeFill="accent1" w:themeFillTint="33"/>
          </w:tcPr>
          <w:p w14:paraId="2E78EEAE" w14:textId="7099CB1C" w:rsidR="00627C91" w:rsidRPr="00C2785B" w:rsidRDefault="005E73E6" w:rsidP="00627C91">
            <w:pPr>
              <w:spacing w:after="160" w:line="259" w:lineRule="auto"/>
            </w:pPr>
            <w:r>
              <w:t xml:space="preserve">Undertake </w:t>
            </w:r>
            <w:r w:rsidR="001D7674">
              <w:t xml:space="preserve">an options </w:t>
            </w:r>
            <w:r>
              <w:t>analysis to inform new Memorandum of Understanding (MOU)</w:t>
            </w:r>
            <w:r w:rsidR="001D7674">
              <w:t xml:space="preserve"> with MAH.</w:t>
            </w:r>
          </w:p>
        </w:tc>
        <w:tc>
          <w:tcPr>
            <w:tcW w:w="2694" w:type="dxa"/>
            <w:tcBorders>
              <w:top w:val="single" w:sz="4" w:space="0" w:color="auto"/>
              <w:left w:val="single" w:sz="4" w:space="0" w:color="auto"/>
              <w:bottom w:val="single" w:sz="4" w:space="0" w:color="auto"/>
              <w:right w:val="single" w:sz="4" w:space="0" w:color="auto"/>
            </w:tcBorders>
            <w:shd w:val="clear" w:color="auto" w:fill="B9E0F3" w:themeFill="accent1" w:themeFillTint="33"/>
          </w:tcPr>
          <w:p w14:paraId="69CA1E91" w14:textId="4D9F3B64" w:rsidR="00627C91" w:rsidRDefault="00966652" w:rsidP="00627C91">
            <w:pPr>
              <w:spacing w:after="160" w:line="259" w:lineRule="auto"/>
            </w:pPr>
            <w:r>
              <w:t>Affordable Housing</w:t>
            </w:r>
          </w:p>
          <w:p w14:paraId="7069521D" w14:textId="0A0390D9" w:rsidR="00627C91" w:rsidRPr="00C2785B" w:rsidRDefault="00627C91" w:rsidP="00627C91">
            <w:pPr>
              <w:spacing w:after="160" w:line="259" w:lineRule="auto"/>
            </w:pPr>
            <w:r w:rsidRPr="00C2785B">
              <w:t>Governance</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38018A0" w14:textId="45D88516" w:rsidR="00627C91" w:rsidRPr="00C2785B" w:rsidRDefault="00627C91" w:rsidP="00627C91">
            <w:pPr>
              <w:spacing w:after="160" w:line="259" w:lineRule="auto"/>
            </w:pPr>
            <w:r w:rsidRPr="00C2785B">
              <w:t>X</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43D6FCB" w14:textId="5113D9BF" w:rsidR="00627C91" w:rsidRPr="00C2785B" w:rsidRDefault="00627C91" w:rsidP="00627C91">
            <w:pPr>
              <w:spacing w:after="160" w:line="259" w:lineRule="auto"/>
            </w:pPr>
          </w:p>
        </w:tc>
        <w:tc>
          <w:tcPr>
            <w:tcW w:w="573" w:type="dxa"/>
            <w:tcBorders>
              <w:top w:val="single" w:sz="4" w:space="0" w:color="auto"/>
              <w:left w:val="single" w:sz="4" w:space="0" w:color="auto"/>
              <w:bottom w:val="single" w:sz="4" w:space="0" w:color="auto"/>
              <w:right w:val="single" w:sz="4" w:space="0" w:color="auto"/>
            </w:tcBorders>
            <w:shd w:val="clear" w:color="auto" w:fill="FFFFFF" w:themeFill="background1"/>
          </w:tcPr>
          <w:p w14:paraId="33F68508" w14:textId="77777777" w:rsidR="00627C91" w:rsidRPr="00C2785B" w:rsidRDefault="00627C91" w:rsidP="00627C91">
            <w:pPr>
              <w:spacing w:after="160" w:line="259" w:lineRule="auto"/>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35A45EC" w14:textId="77777777" w:rsidR="00627C91" w:rsidRPr="00C2785B" w:rsidRDefault="00627C91" w:rsidP="00627C91">
            <w:pPr>
              <w:spacing w:after="160" w:line="259" w:lineRule="auto"/>
            </w:pPr>
          </w:p>
        </w:tc>
        <w:tc>
          <w:tcPr>
            <w:tcW w:w="1695" w:type="dxa"/>
            <w:tcBorders>
              <w:top w:val="single" w:sz="4" w:space="0" w:color="auto"/>
              <w:left w:val="single" w:sz="4" w:space="0" w:color="auto"/>
              <w:bottom w:val="single" w:sz="4" w:space="0" w:color="auto"/>
              <w:right w:val="single" w:sz="4" w:space="0" w:color="auto"/>
            </w:tcBorders>
            <w:shd w:val="clear" w:color="auto" w:fill="B9E0F3" w:themeFill="accent1" w:themeFillTint="33"/>
          </w:tcPr>
          <w:p w14:paraId="7007A19B" w14:textId="5001AB07" w:rsidR="00627C91" w:rsidRPr="00C2785B" w:rsidRDefault="006A05D7" w:rsidP="00627C91">
            <w:pPr>
              <w:spacing w:after="160" w:line="259" w:lineRule="auto"/>
            </w:pPr>
            <w:r w:rsidRPr="006A05D7">
              <w:t>Existing staff and unit budget</w:t>
            </w:r>
            <w:r w:rsidRPr="006A05D7" w:rsidDel="006A05D7">
              <w:t xml:space="preserve"> </w:t>
            </w:r>
            <w:r w:rsidR="00627C91" w:rsidRPr="00C2785B">
              <w:t>Housing Reserve</w:t>
            </w:r>
          </w:p>
        </w:tc>
      </w:tr>
      <w:tr w:rsidR="00627C91" w:rsidRPr="00C2785B" w14:paraId="4CBD2C5D" w14:textId="77777777" w:rsidTr="00AE743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72"/>
        </w:trPr>
        <w:tc>
          <w:tcPr>
            <w:tcW w:w="2263" w:type="dxa"/>
            <w:vMerge/>
            <w:tcBorders>
              <w:left w:val="single" w:sz="4" w:space="0" w:color="auto"/>
              <w:right w:val="single" w:sz="4" w:space="0" w:color="auto"/>
            </w:tcBorders>
            <w:shd w:val="clear" w:color="auto" w:fill="B9E0F3" w:themeFill="accent1" w:themeFillTint="33"/>
          </w:tcPr>
          <w:p w14:paraId="0C672972" w14:textId="77777777" w:rsidR="00627C91" w:rsidRPr="00FA5C60" w:rsidRDefault="00627C91" w:rsidP="00627C91">
            <w:pPr>
              <w:rPr>
                <w:b/>
                <w:bCs/>
              </w:rPr>
            </w:pPr>
          </w:p>
        </w:tc>
        <w:tc>
          <w:tcPr>
            <w:tcW w:w="5670" w:type="dxa"/>
            <w:tcBorders>
              <w:top w:val="single" w:sz="4" w:space="0" w:color="auto"/>
              <w:left w:val="single" w:sz="4" w:space="0" w:color="auto"/>
              <w:bottom w:val="single" w:sz="4" w:space="0" w:color="auto"/>
              <w:right w:val="single" w:sz="4" w:space="0" w:color="auto"/>
            </w:tcBorders>
            <w:shd w:val="clear" w:color="auto" w:fill="B9E0F3" w:themeFill="accent1" w:themeFillTint="33"/>
          </w:tcPr>
          <w:p w14:paraId="6CADA665" w14:textId="18C81908" w:rsidR="00627C91" w:rsidRPr="00C2785B" w:rsidRDefault="00627C91" w:rsidP="00627C91">
            <w:pPr>
              <w:spacing w:after="160" w:line="259" w:lineRule="auto"/>
            </w:pPr>
            <w:r w:rsidRPr="00C2785B">
              <w:t>Work with MAH to support its sustainable growth and strategic direction including establishing a new MOU from 2023/24</w:t>
            </w:r>
          </w:p>
        </w:tc>
        <w:tc>
          <w:tcPr>
            <w:tcW w:w="2694" w:type="dxa"/>
            <w:tcBorders>
              <w:top w:val="single" w:sz="4" w:space="0" w:color="auto"/>
              <w:left w:val="single" w:sz="4" w:space="0" w:color="auto"/>
              <w:bottom w:val="single" w:sz="4" w:space="0" w:color="auto"/>
              <w:right w:val="single" w:sz="4" w:space="0" w:color="auto"/>
            </w:tcBorders>
            <w:shd w:val="clear" w:color="auto" w:fill="B9E0F3" w:themeFill="accent1" w:themeFillTint="33"/>
          </w:tcPr>
          <w:p w14:paraId="5CD5626E" w14:textId="1BD8D0AD" w:rsidR="00627C91" w:rsidRPr="00C2785B" w:rsidRDefault="00966652" w:rsidP="00627C91">
            <w:pPr>
              <w:spacing w:after="160" w:line="259" w:lineRule="auto"/>
            </w:pPr>
            <w:r>
              <w:t>Affordable Housing</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12E0BFA" w14:textId="08733E01" w:rsidR="00627C91" w:rsidRPr="00C2785B" w:rsidRDefault="00627C91" w:rsidP="00627C91">
            <w:pPr>
              <w:spacing w:after="160" w:line="259" w:lineRule="auto"/>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5E8E2C84" w14:textId="580D370E" w:rsidR="00627C91" w:rsidRPr="00C2785B" w:rsidRDefault="00627C91" w:rsidP="00627C91">
            <w:pPr>
              <w:spacing w:after="160" w:line="259" w:lineRule="auto"/>
            </w:pPr>
            <w:r w:rsidRPr="00C2785B">
              <w:t>X</w:t>
            </w:r>
          </w:p>
        </w:tc>
        <w:tc>
          <w:tcPr>
            <w:tcW w:w="573" w:type="dxa"/>
            <w:tcBorders>
              <w:top w:val="single" w:sz="4" w:space="0" w:color="auto"/>
              <w:left w:val="single" w:sz="4" w:space="0" w:color="auto"/>
              <w:bottom w:val="single" w:sz="4" w:space="0" w:color="auto"/>
              <w:right w:val="single" w:sz="4" w:space="0" w:color="auto"/>
            </w:tcBorders>
            <w:shd w:val="clear" w:color="auto" w:fill="FFFFFF" w:themeFill="background1"/>
          </w:tcPr>
          <w:p w14:paraId="0F4EB4BA" w14:textId="77777777" w:rsidR="00627C91" w:rsidRPr="00C2785B" w:rsidRDefault="00627C91" w:rsidP="00627C91">
            <w:pPr>
              <w:spacing w:after="160" w:line="259" w:lineRule="auto"/>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977EA4F" w14:textId="77777777" w:rsidR="00627C91" w:rsidRPr="00C2785B" w:rsidRDefault="00627C91" w:rsidP="00627C91">
            <w:pPr>
              <w:spacing w:after="160" w:line="259" w:lineRule="auto"/>
            </w:pPr>
          </w:p>
        </w:tc>
        <w:tc>
          <w:tcPr>
            <w:tcW w:w="1695" w:type="dxa"/>
            <w:tcBorders>
              <w:top w:val="single" w:sz="4" w:space="0" w:color="auto"/>
              <w:left w:val="single" w:sz="4" w:space="0" w:color="auto"/>
              <w:bottom w:val="single" w:sz="4" w:space="0" w:color="auto"/>
              <w:right w:val="single" w:sz="4" w:space="0" w:color="auto"/>
            </w:tcBorders>
            <w:shd w:val="clear" w:color="auto" w:fill="B9E0F3" w:themeFill="accent1" w:themeFillTint="33"/>
          </w:tcPr>
          <w:p w14:paraId="0E05EF80" w14:textId="77777777" w:rsidR="00627C91" w:rsidRPr="00C2785B" w:rsidRDefault="00627C91" w:rsidP="00627C91">
            <w:pPr>
              <w:spacing w:after="160" w:line="259" w:lineRule="auto"/>
            </w:pPr>
            <w:r w:rsidRPr="00C2785B">
              <w:t xml:space="preserve">Base </w:t>
            </w:r>
          </w:p>
          <w:p w14:paraId="799B0FE1" w14:textId="1CBFE2F9" w:rsidR="00627C91" w:rsidRPr="00C2785B" w:rsidRDefault="00627C91" w:rsidP="00627C91">
            <w:pPr>
              <w:spacing w:after="160" w:line="259" w:lineRule="auto"/>
            </w:pPr>
          </w:p>
        </w:tc>
      </w:tr>
      <w:tr w:rsidR="00627C91" w:rsidRPr="00C2785B" w14:paraId="4AE248A4" w14:textId="77777777" w:rsidTr="00AE743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34"/>
        </w:trPr>
        <w:tc>
          <w:tcPr>
            <w:tcW w:w="2263" w:type="dxa"/>
            <w:vMerge/>
            <w:tcBorders>
              <w:left w:val="single" w:sz="4" w:space="0" w:color="auto"/>
              <w:right w:val="single" w:sz="4" w:space="0" w:color="auto"/>
            </w:tcBorders>
            <w:shd w:val="clear" w:color="auto" w:fill="B9E0F3" w:themeFill="accent1" w:themeFillTint="33"/>
          </w:tcPr>
          <w:p w14:paraId="105BCEEB" w14:textId="77777777" w:rsidR="00627C91" w:rsidRPr="00FA5C60" w:rsidRDefault="00627C91" w:rsidP="00627C91">
            <w:pPr>
              <w:spacing w:after="160" w:line="259" w:lineRule="auto"/>
              <w:rPr>
                <w:b/>
                <w:bCs/>
              </w:rPr>
            </w:pPr>
          </w:p>
        </w:tc>
        <w:tc>
          <w:tcPr>
            <w:tcW w:w="5670" w:type="dxa"/>
            <w:tcBorders>
              <w:top w:val="single" w:sz="4" w:space="0" w:color="auto"/>
              <w:left w:val="single" w:sz="4" w:space="0" w:color="auto"/>
              <w:bottom w:val="single" w:sz="4" w:space="0" w:color="auto"/>
              <w:right w:val="single" w:sz="4" w:space="0" w:color="auto"/>
            </w:tcBorders>
            <w:shd w:val="clear" w:color="auto" w:fill="B9E0F3" w:themeFill="accent1" w:themeFillTint="33"/>
          </w:tcPr>
          <w:p w14:paraId="2D1DCCC3" w14:textId="0D378895" w:rsidR="00627C91" w:rsidRPr="00C2785B" w:rsidRDefault="00627C91" w:rsidP="00627C91">
            <w:pPr>
              <w:spacing w:after="160" w:line="259" w:lineRule="auto"/>
            </w:pPr>
            <w:r w:rsidRPr="00C2785B">
              <w:t>Support MAH in developing</w:t>
            </w:r>
            <w:r>
              <w:t xml:space="preserve"> future</w:t>
            </w:r>
            <w:r w:rsidRPr="00C2785B">
              <w:t xml:space="preserve"> proposals for affordable housing on council land sites</w:t>
            </w:r>
            <w:r>
              <w:t>. This</w:t>
            </w:r>
            <w:r w:rsidRPr="00C2785B">
              <w:t xml:space="preserve"> </w:t>
            </w:r>
            <w:r w:rsidRPr="00DD7CC4">
              <w:t>includ</w:t>
            </w:r>
            <w:r>
              <w:t>es</w:t>
            </w:r>
            <w:r w:rsidRPr="00C2785B">
              <w:t xml:space="preserve"> community support, consultation on governance, priority need</w:t>
            </w:r>
            <w:r w:rsidR="00D26FBA">
              <w:t>s and</w:t>
            </w:r>
            <w:r w:rsidRPr="00C2785B">
              <w:t xml:space="preserve"> development models.</w:t>
            </w:r>
          </w:p>
        </w:tc>
        <w:tc>
          <w:tcPr>
            <w:tcW w:w="2694" w:type="dxa"/>
            <w:tcBorders>
              <w:top w:val="single" w:sz="4" w:space="0" w:color="auto"/>
              <w:left w:val="single" w:sz="4" w:space="0" w:color="auto"/>
              <w:bottom w:val="single" w:sz="4" w:space="0" w:color="auto"/>
              <w:right w:val="single" w:sz="4" w:space="0" w:color="auto"/>
            </w:tcBorders>
            <w:shd w:val="clear" w:color="auto" w:fill="B9E0F3" w:themeFill="accent1" w:themeFillTint="33"/>
          </w:tcPr>
          <w:p w14:paraId="6B4521F0" w14:textId="5295B2DC" w:rsidR="00627C91" w:rsidRPr="00C2785B" w:rsidRDefault="00966652" w:rsidP="00627C91">
            <w:pPr>
              <w:spacing w:after="160" w:line="259" w:lineRule="auto"/>
            </w:pPr>
            <w:r>
              <w:t>Affordable Housing</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633F0DE" w14:textId="6B0AFE1D" w:rsidR="00627C91" w:rsidRPr="00C2785B" w:rsidRDefault="00627C91" w:rsidP="00627C91">
            <w:pPr>
              <w:spacing w:after="160" w:line="259" w:lineRule="auto"/>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21AC5815" w14:textId="77777777" w:rsidR="00627C91" w:rsidRPr="00C2785B" w:rsidRDefault="00627C91" w:rsidP="00627C91">
            <w:pPr>
              <w:spacing w:after="160" w:line="259" w:lineRule="auto"/>
            </w:pPr>
            <w:r w:rsidRPr="00C2785B">
              <w:t>X</w:t>
            </w:r>
          </w:p>
        </w:tc>
        <w:tc>
          <w:tcPr>
            <w:tcW w:w="573" w:type="dxa"/>
            <w:tcBorders>
              <w:top w:val="single" w:sz="4" w:space="0" w:color="auto"/>
              <w:left w:val="single" w:sz="4" w:space="0" w:color="auto"/>
              <w:bottom w:val="single" w:sz="4" w:space="0" w:color="auto"/>
              <w:right w:val="single" w:sz="4" w:space="0" w:color="auto"/>
            </w:tcBorders>
            <w:shd w:val="clear" w:color="auto" w:fill="FFFFFF" w:themeFill="background1"/>
          </w:tcPr>
          <w:p w14:paraId="6BBBD287" w14:textId="77777777" w:rsidR="00627C91" w:rsidRPr="00C2785B" w:rsidRDefault="00627C91" w:rsidP="00627C91">
            <w:pPr>
              <w:spacing w:after="160" w:line="259" w:lineRule="auto"/>
            </w:pPr>
            <w:r w:rsidRPr="00C2785B">
              <w:t>X</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F886807" w14:textId="77777777" w:rsidR="00627C91" w:rsidRPr="00C2785B" w:rsidRDefault="00627C91" w:rsidP="00627C91">
            <w:pPr>
              <w:spacing w:after="160" w:line="259" w:lineRule="auto"/>
            </w:pPr>
            <w:r w:rsidRPr="00C2785B">
              <w:t>X</w:t>
            </w:r>
          </w:p>
        </w:tc>
        <w:tc>
          <w:tcPr>
            <w:tcW w:w="1695" w:type="dxa"/>
            <w:tcBorders>
              <w:top w:val="single" w:sz="4" w:space="0" w:color="auto"/>
              <w:left w:val="single" w:sz="4" w:space="0" w:color="auto"/>
              <w:bottom w:val="single" w:sz="4" w:space="0" w:color="auto"/>
              <w:right w:val="single" w:sz="4" w:space="0" w:color="auto"/>
            </w:tcBorders>
            <w:shd w:val="clear" w:color="auto" w:fill="B9E0F3" w:themeFill="accent1" w:themeFillTint="33"/>
          </w:tcPr>
          <w:p w14:paraId="278C62CA" w14:textId="77777777" w:rsidR="00627C91" w:rsidRDefault="006A05D7" w:rsidP="00627C91">
            <w:pPr>
              <w:spacing w:after="160" w:line="259" w:lineRule="auto"/>
            </w:pPr>
            <w:r w:rsidRPr="006A05D7">
              <w:t>Existing staff and unit budget</w:t>
            </w:r>
            <w:r w:rsidRPr="006A05D7" w:rsidDel="006A05D7">
              <w:t xml:space="preserve"> </w:t>
            </w:r>
            <w:r w:rsidR="00627C91" w:rsidRPr="00C2785B">
              <w:t>Housing Reserve</w:t>
            </w:r>
          </w:p>
          <w:p w14:paraId="2F685754" w14:textId="77777777" w:rsidR="00791B3E" w:rsidRDefault="00791B3E" w:rsidP="00627C91">
            <w:pPr>
              <w:spacing w:after="160" w:line="259" w:lineRule="auto"/>
            </w:pPr>
          </w:p>
          <w:p w14:paraId="08233CDB" w14:textId="5155BD76" w:rsidR="00791B3E" w:rsidRPr="00C2785B" w:rsidRDefault="00791B3E" w:rsidP="00627C91">
            <w:pPr>
              <w:spacing w:after="160" w:line="259" w:lineRule="auto"/>
            </w:pPr>
          </w:p>
        </w:tc>
      </w:tr>
      <w:tr w:rsidR="008772D5" w:rsidRPr="00C2785B" w14:paraId="68EF619B" w14:textId="77777777" w:rsidTr="00AE743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82"/>
        </w:trPr>
        <w:tc>
          <w:tcPr>
            <w:tcW w:w="2263" w:type="dxa"/>
            <w:vMerge w:val="restart"/>
            <w:tcBorders>
              <w:top w:val="single" w:sz="4" w:space="0" w:color="auto"/>
              <w:left w:val="single" w:sz="4" w:space="0" w:color="auto"/>
              <w:right w:val="single" w:sz="4" w:space="0" w:color="auto"/>
            </w:tcBorders>
            <w:shd w:val="clear" w:color="auto" w:fill="B9E0F3" w:themeFill="accent1" w:themeFillTint="33"/>
          </w:tcPr>
          <w:p w14:paraId="2648A0CB" w14:textId="5BFA2CB4" w:rsidR="008772D5" w:rsidRPr="00FA5C60" w:rsidRDefault="008772D5" w:rsidP="005E4228">
            <w:pPr>
              <w:spacing w:after="160" w:line="259" w:lineRule="auto"/>
              <w:rPr>
                <w:b/>
                <w:bCs/>
              </w:rPr>
            </w:pPr>
            <w:bookmarkStart w:id="10" w:name="_Hlk111208231"/>
            <w:r w:rsidRPr="00FA5C60">
              <w:rPr>
                <w:b/>
                <w:bCs/>
              </w:rPr>
              <w:lastRenderedPageBreak/>
              <w:t>2.</w:t>
            </w:r>
            <w:r>
              <w:rPr>
                <w:b/>
                <w:bCs/>
              </w:rPr>
              <w:t>2</w:t>
            </w:r>
            <w:r w:rsidRPr="00FA5C60">
              <w:rPr>
                <w:b/>
                <w:bCs/>
              </w:rPr>
              <w:t xml:space="preserve"> </w:t>
            </w:r>
            <w:r w:rsidRPr="005E4228">
              <w:rPr>
                <w:b/>
                <w:bCs/>
              </w:rPr>
              <w:t>Consider suitability for affordable housing as a use during strategic assessment of land or property that is undergoing change of use or potential sale</w:t>
            </w:r>
          </w:p>
        </w:tc>
        <w:tc>
          <w:tcPr>
            <w:tcW w:w="5670" w:type="dxa"/>
            <w:tcBorders>
              <w:top w:val="single" w:sz="4" w:space="0" w:color="auto"/>
              <w:left w:val="single" w:sz="4" w:space="0" w:color="auto"/>
              <w:bottom w:val="single" w:sz="4" w:space="0" w:color="auto"/>
              <w:right w:val="single" w:sz="4" w:space="0" w:color="auto"/>
            </w:tcBorders>
            <w:shd w:val="clear" w:color="auto" w:fill="B9E0F3" w:themeFill="accent1" w:themeFillTint="33"/>
          </w:tcPr>
          <w:p w14:paraId="4B4D4CB5" w14:textId="29E50180" w:rsidR="008772D5" w:rsidRPr="00C2785B" w:rsidRDefault="008772D5" w:rsidP="00627C91">
            <w:pPr>
              <w:spacing w:line="259" w:lineRule="auto"/>
            </w:pPr>
            <w:r w:rsidRPr="00C2785B">
              <w:t>Develop</w:t>
            </w:r>
            <w:r w:rsidRPr="00C2785B" w:rsidDel="00AE61E1">
              <w:t>ment of</w:t>
            </w:r>
            <w:r w:rsidRPr="00C2785B">
              <w:t xml:space="preserve"> an affordable housing assessment tool to </w:t>
            </w:r>
            <w:r w:rsidRPr="00C2785B" w:rsidDel="00EC63EE">
              <w:t>measure</w:t>
            </w:r>
            <w:r>
              <w:t xml:space="preserve"> appropriateness of</w:t>
            </w:r>
            <w:r w:rsidRPr="00C2785B" w:rsidDel="00EC63EE">
              <w:t xml:space="preserve"> potential affordable housing outcome</w:t>
            </w:r>
            <w:r>
              <w:t xml:space="preserve"> to support S</w:t>
            </w:r>
            <w:r w:rsidRPr="00C2785B">
              <w:t>trategic Property Framework</w:t>
            </w:r>
          </w:p>
        </w:tc>
        <w:tc>
          <w:tcPr>
            <w:tcW w:w="2694" w:type="dxa"/>
            <w:tcBorders>
              <w:top w:val="single" w:sz="4" w:space="0" w:color="auto"/>
              <w:left w:val="single" w:sz="4" w:space="0" w:color="auto"/>
              <w:bottom w:val="single" w:sz="4" w:space="0" w:color="auto"/>
              <w:right w:val="single" w:sz="4" w:space="0" w:color="auto"/>
            </w:tcBorders>
            <w:shd w:val="clear" w:color="auto" w:fill="B9E0F3" w:themeFill="accent1" w:themeFillTint="33"/>
          </w:tcPr>
          <w:p w14:paraId="0AE89031" w14:textId="70E78399" w:rsidR="008772D5" w:rsidRDefault="00966652" w:rsidP="00627C91">
            <w:pPr>
              <w:spacing w:after="160" w:line="259" w:lineRule="auto"/>
            </w:pPr>
            <w:r>
              <w:t>Affordable Housing</w:t>
            </w:r>
          </w:p>
          <w:p w14:paraId="6F84A819" w14:textId="078B01A5" w:rsidR="008772D5" w:rsidRPr="00C2785B" w:rsidRDefault="008772D5" w:rsidP="00627C91">
            <w:pPr>
              <w:spacing w:line="259" w:lineRule="auto"/>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F31B9F2" w14:textId="1ED919BC" w:rsidR="008772D5" w:rsidRDefault="008772D5" w:rsidP="00627C91">
            <w:pPr>
              <w:spacing w:line="259" w:lineRule="auto"/>
            </w:pPr>
            <w:r>
              <w:t>X</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41B76449" w14:textId="054A980F" w:rsidR="008772D5" w:rsidRDefault="008772D5" w:rsidP="00627C91">
            <w:pPr>
              <w:spacing w:line="259" w:lineRule="auto"/>
            </w:pPr>
            <w:r>
              <w:t>X</w:t>
            </w:r>
          </w:p>
        </w:tc>
        <w:tc>
          <w:tcPr>
            <w:tcW w:w="573" w:type="dxa"/>
            <w:tcBorders>
              <w:top w:val="single" w:sz="4" w:space="0" w:color="auto"/>
              <w:left w:val="single" w:sz="4" w:space="0" w:color="auto"/>
              <w:bottom w:val="single" w:sz="4" w:space="0" w:color="auto"/>
              <w:right w:val="single" w:sz="4" w:space="0" w:color="auto"/>
            </w:tcBorders>
            <w:shd w:val="clear" w:color="auto" w:fill="FFFFFF" w:themeFill="background1"/>
          </w:tcPr>
          <w:p w14:paraId="338F2986" w14:textId="77777777" w:rsidR="008772D5" w:rsidRDefault="008772D5" w:rsidP="00627C91">
            <w:pPr>
              <w:spacing w:line="259" w:lineRule="auto"/>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638CDD4" w14:textId="77777777" w:rsidR="008772D5" w:rsidRDefault="008772D5" w:rsidP="00627C91">
            <w:pPr>
              <w:spacing w:line="259" w:lineRule="auto"/>
            </w:pPr>
          </w:p>
        </w:tc>
        <w:tc>
          <w:tcPr>
            <w:tcW w:w="1695" w:type="dxa"/>
            <w:tcBorders>
              <w:top w:val="single" w:sz="4" w:space="0" w:color="auto"/>
              <w:left w:val="single" w:sz="4" w:space="0" w:color="auto"/>
              <w:bottom w:val="single" w:sz="4" w:space="0" w:color="auto"/>
              <w:right w:val="single" w:sz="4" w:space="0" w:color="auto"/>
            </w:tcBorders>
            <w:shd w:val="clear" w:color="auto" w:fill="B9E0F3" w:themeFill="accent1" w:themeFillTint="33"/>
          </w:tcPr>
          <w:p w14:paraId="1C3CF0D2" w14:textId="517762B7" w:rsidR="008772D5" w:rsidRPr="00C2785B" w:rsidRDefault="008772D5" w:rsidP="00627C91">
            <w:pPr>
              <w:spacing w:line="259" w:lineRule="auto"/>
            </w:pPr>
            <w:r w:rsidRPr="006A05D7">
              <w:t>Existing staff and unit budget</w:t>
            </w:r>
            <w:r w:rsidRPr="006A05D7" w:rsidDel="006A05D7">
              <w:t xml:space="preserve"> </w:t>
            </w:r>
          </w:p>
        </w:tc>
      </w:tr>
      <w:tr w:rsidR="008772D5" w:rsidRPr="00C2785B" w14:paraId="574D0C05" w14:textId="77777777" w:rsidTr="00AE743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82"/>
        </w:trPr>
        <w:tc>
          <w:tcPr>
            <w:tcW w:w="2263" w:type="dxa"/>
            <w:vMerge/>
            <w:tcBorders>
              <w:left w:val="single" w:sz="4" w:space="0" w:color="auto"/>
              <w:right w:val="single" w:sz="4" w:space="0" w:color="auto"/>
            </w:tcBorders>
            <w:shd w:val="clear" w:color="auto" w:fill="B9E0F3" w:themeFill="accent1" w:themeFillTint="33"/>
          </w:tcPr>
          <w:p w14:paraId="3DC7D80A" w14:textId="0B805E49" w:rsidR="008772D5" w:rsidRPr="00FA5C60" w:rsidRDefault="008772D5" w:rsidP="00627C91">
            <w:pPr>
              <w:spacing w:after="160" w:line="259" w:lineRule="auto"/>
              <w:rPr>
                <w:b/>
                <w:bCs/>
              </w:rPr>
            </w:pPr>
          </w:p>
        </w:tc>
        <w:tc>
          <w:tcPr>
            <w:tcW w:w="5670" w:type="dxa"/>
            <w:tcBorders>
              <w:top w:val="single" w:sz="4" w:space="0" w:color="auto"/>
              <w:left w:val="single" w:sz="4" w:space="0" w:color="auto"/>
              <w:bottom w:val="single" w:sz="4" w:space="0" w:color="auto"/>
              <w:right w:val="single" w:sz="4" w:space="0" w:color="auto"/>
            </w:tcBorders>
            <w:shd w:val="clear" w:color="auto" w:fill="B9E0F3" w:themeFill="accent1" w:themeFillTint="33"/>
          </w:tcPr>
          <w:p w14:paraId="36B7C915" w14:textId="77777777" w:rsidR="008772D5" w:rsidRPr="00C2785B" w:rsidRDefault="008772D5" w:rsidP="00627C91">
            <w:pPr>
              <w:spacing w:after="160" w:line="259" w:lineRule="auto"/>
            </w:pPr>
            <w:r w:rsidRPr="00C2785B">
              <w:t xml:space="preserve">Provide strategic advice on suitability for affordable housing when </w:t>
            </w:r>
            <w:r>
              <w:t xml:space="preserve">there are </w:t>
            </w:r>
            <w:r w:rsidRPr="00C2785B">
              <w:t>opportunities for change of use, lease, sale and purchase of land</w:t>
            </w:r>
          </w:p>
        </w:tc>
        <w:tc>
          <w:tcPr>
            <w:tcW w:w="2694" w:type="dxa"/>
            <w:tcBorders>
              <w:top w:val="single" w:sz="4" w:space="0" w:color="auto"/>
              <w:left w:val="single" w:sz="4" w:space="0" w:color="auto"/>
              <w:bottom w:val="single" w:sz="4" w:space="0" w:color="auto"/>
              <w:right w:val="single" w:sz="4" w:space="0" w:color="auto"/>
            </w:tcBorders>
            <w:shd w:val="clear" w:color="auto" w:fill="B9E0F3" w:themeFill="accent1" w:themeFillTint="33"/>
          </w:tcPr>
          <w:p w14:paraId="09452F56" w14:textId="173F8EAC" w:rsidR="008772D5" w:rsidRDefault="00966652" w:rsidP="00627C91">
            <w:pPr>
              <w:spacing w:after="160" w:line="259" w:lineRule="auto"/>
            </w:pPr>
            <w:r>
              <w:t>Affordable Housing</w:t>
            </w:r>
          </w:p>
          <w:p w14:paraId="43A9EF1D" w14:textId="6FB92AC7" w:rsidR="008772D5" w:rsidRPr="00C2785B" w:rsidRDefault="008772D5" w:rsidP="00627C91">
            <w:pPr>
              <w:spacing w:after="160" w:line="259" w:lineRule="auto"/>
            </w:pPr>
            <w:r w:rsidRPr="00C2785B">
              <w:t>Property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947061F" w14:textId="680CD7F0" w:rsidR="008772D5" w:rsidRPr="00C2785B" w:rsidRDefault="008772D5" w:rsidP="00627C91">
            <w:pPr>
              <w:spacing w:after="160" w:line="259" w:lineRule="auto"/>
            </w:pPr>
            <w:r>
              <w:t>X</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4C2C440" w14:textId="55346573" w:rsidR="008772D5" w:rsidRPr="00C2785B" w:rsidRDefault="008772D5" w:rsidP="00627C91">
            <w:pPr>
              <w:spacing w:after="160" w:line="259" w:lineRule="auto"/>
            </w:pPr>
            <w:r>
              <w:t>X</w:t>
            </w:r>
          </w:p>
        </w:tc>
        <w:tc>
          <w:tcPr>
            <w:tcW w:w="573" w:type="dxa"/>
            <w:tcBorders>
              <w:top w:val="single" w:sz="4" w:space="0" w:color="auto"/>
              <w:left w:val="single" w:sz="4" w:space="0" w:color="auto"/>
              <w:bottom w:val="single" w:sz="4" w:space="0" w:color="auto"/>
              <w:right w:val="single" w:sz="4" w:space="0" w:color="auto"/>
            </w:tcBorders>
            <w:shd w:val="clear" w:color="auto" w:fill="FFFFFF" w:themeFill="background1"/>
          </w:tcPr>
          <w:p w14:paraId="1EEFC828" w14:textId="5CD02277" w:rsidR="008772D5" w:rsidRPr="00C2785B" w:rsidRDefault="008772D5" w:rsidP="00627C91">
            <w:pPr>
              <w:spacing w:after="160" w:line="259" w:lineRule="auto"/>
            </w:pPr>
            <w:r>
              <w:t>X</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FDE7880" w14:textId="6ABC3D50" w:rsidR="008772D5" w:rsidRPr="00C2785B" w:rsidRDefault="008772D5" w:rsidP="00627C91">
            <w:pPr>
              <w:spacing w:after="160" w:line="259" w:lineRule="auto"/>
            </w:pPr>
            <w:r>
              <w:t>X</w:t>
            </w:r>
          </w:p>
        </w:tc>
        <w:tc>
          <w:tcPr>
            <w:tcW w:w="1695" w:type="dxa"/>
            <w:tcBorders>
              <w:top w:val="single" w:sz="4" w:space="0" w:color="auto"/>
              <w:left w:val="single" w:sz="4" w:space="0" w:color="auto"/>
              <w:bottom w:val="single" w:sz="4" w:space="0" w:color="auto"/>
              <w:right w:val="single" w:sz="4" w:space="0" w:color="auto"/>
            </w:tcBorders>
            <w:shd w:val="clear" w:color="auto" w:fill="B9E0F3" w:themeFill="accent1" w:themeFillTint="33"/>
          </w:tcPr>
          <w:p w14:paraId="44C1BBC3" w14:textId="6C12F0CD" w:rsidR="008772D5" w:rsidRPr="00C2785B" w:rsidRDefault="008772D5" w:rsidP="00627C91">
            <w:pPr>
              <w:spacing w:after="160" w:line="259" w:lineRule="auto"/>
            </w:pPr>
            <w:r w:rsidRPr="006A05D7">
              <w:t>Existing staff and unit budget</w:t>
            </w:r>
            <w:r w:rsidRPr="006A05D7" w:rsidDel="006A05D7">
              <w:t xml:space="preserve"> </w:t>
            </w:r>
          </w:p>
        </w:tc>
      </w:tr>
      <w:tr w:rsidR="008772D5" w:rsidRPr="00C2785B" w14:paraId="6F2DB051" w14:textId="77777777" w:rsidTr="00AE743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57"/>
        </w:trPr>
        <w:tc>
          <w:tcPr>
            <w:tcW w:w="2263" w:type="dxa"/>
            <w:vMerge/>
            <w:tcBorders>
              <w:left w:val="single" w:sz="4" w:space="0" w:color="auto"/>
              <w:right w:val="single" w:sz="4" w:space="0" w:color="auto"/>
            </w:tcBorders>
            <w:shd w:val="clear" w:color="auto" w:fill="B9E0F3" w:themeFill="accent1" w:themeFillTint="33"/>
          </w:tcPr>
          <w:p w14:paraId="41D2F009" w14:textId="77777777" w:rsidR="008772D5" w:rsidRPr="00FA5C60" w:rsidRDefault="008772D5" w:rsidP="00627C91">
            <w:pPr>
              <w:spacing w:after="160" w:line="259" w:lineRule="auto"/>
              <w:rPr>
                <w:b/>
                <w:bCs/>
              </w:rPr>
            </w:pPr>
          </w:p>
        </w:tc>
        <w:tc>
          <w:tcPr>
            <w:tcW w:w="5670" w:type="dxa"/>
            <w:tcBorders>
              <w:top w:val="single" w:sz="4" w:space="0" w:color="auto"/>
              <w:left w:val="single" w:sz="4" w:space="0" w:color="auto"/>
              <w:bottom w:val="single" w:sz="4" w:space="0" w:color="auto"/>
              <w:right w:val="single" w:sz="4" w:space="0" w:color="auto"/>
            </w:tcBorders>
            <w:shd w:val="clear" w:color="auto" w:fill="B9E0F3" w:themeFill="accent1" w:themeFillTint="33"/>
          </w:tcPr>
          <w:p w14:paraId="544F6967" w14:textId="2DACDF03" w:rsidR="008772D5" w:rsidRPr="00C2785B" w:rsidRDefault="008772D5" w:rsidP="00627C91">
            <w:pPr>
              <w:spacing w:after="160" w:line="259" w:lineRule="auto"/>
            </w:pPr>
            <w:r w:rsidRPr="00C2785B">
              <w:t xml:space="preserve">Explore opportunities for affordable housing </w:t>
            </w:r>
            <w:r w:rsidRPr="00C2785B" w:rsidDel="006C3025">
              <w:t>with</w:t>
            </w:r>
            <w:r>
              <w:t>in</w:t>
            </w:r>
            <w:r w:rsidRPr="00C2785B" w:rsidDel="00146C25">
              <w:t xml:space="preserve"> community infrastructure</w:t>
            </w:r>
            <w:r>
              <w:t xml:space="preserve"> and</w:t>
            </w:r>
            <w:r w:rsidRPr="00C2785B">
              <w:t xml:space="preserve"> place revitalisation projects (e.g., Coburg)</w:t>
            </w:r>
          </w:p>
        </w:tc>
        <w:tc>
          <w:tcPr>
            <w:tcW w:w="2694" w:type="dxa"/>
            <w:tcBorders>
              <w:top w:val="single" w:sz="4" w:space="0" w:color="auto"/>
              <w:left w:val="single" w:sz="4" w:space="0" w:color="auto"/>
              <w:bottom w:val="single" w:sz="4" w:space="0" w:color="auto"/>
              <w:right w:val="single" w:sz="4" w:space="0" w:color="auto"/>
            </w:tcBorders>
            <w:shd w:val="clear" w:color="auto" w:fill="B9E0F3" w:themeFill="accent1" w:themeFillTint="33"/>
          </w:tcPr>
          <w:p w14:paraId="2FB4C296" w14:textId="4CBBA397" w:rsidR="008772D5" w:rsidRDefault="00966652" w:rsidP="00F90DC5">
            <w:pPr>
              <w:spacing w:line="259" w:lineRule="auto"/>
            </w:pPr>
            <w:r>
              <w:t>Affordable Housing</w:t>
            </w:r>
          </w:p>
          <w:p w14:paraId="1D401A30" w14:textId="77777777" w:rsidR="008772D5" w:rsidRDefault="008772D5" w:rsidP="00F90DC5">
            <w:pPr>
              <w:spacing w:line="259" w:lineRule="auto"/>
            </w:pPr>
            <w:r>
              <w:t>Place Revitalisation</w:t>
            </w:r>
          </w:p>
          <w:p w14:paraId="058B6FFC" w14:textId="3F08B0E8" w:rsidR="008772D5" w:rsidRPr="00C2785B" w:rsidRDefault="008772D5" w:rsidP="00F90DC5">
            <w:pPr>
              <w:spacing w:line="259" w:lineRule="auto"/>
            </w:pPr>
            <w:r>
              <w:t>Property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53C8AC" w14:textId="6C449E22" w:rsidR="008772D5" w:rsidRPr="00C2785B" w:rsidRDefault="008772D5" w:rsidP="00627C91">
            <w:pPr>
              <w:spacing w:after="160" w:line="259" w:lineRule="auto"/>
            </w:pPr>
            <w:r>
              <w:t>X</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16465C2F" w14:textId="2BFBE8A5" w:rsidR="008772D5" w:rsidRPr="00C2785B" w:rsidRDefault="008772D5" w:rsidP="00627C91">
            <w:pPr>
              <w:spacing w:after="160" w:line="259" w:lineRule="auto"/>
            </w:pPr>
            <w:r>
              <w:t>X</w:t>
            </w:r>
          </w:p>
        </w:tc>
        <w:tc>
          <w:tcPr>
            <w:tcW w:w="573" w:type="dxa"/>
            <w:tcBorders>
              <w:top w:val="single" w:sz="4" w:space="0" w:color="auto"/>
              <w:left w:val="single" w:sz="4" w:space="0" w:color="auto"/>
              <w:bottom w:val="single" w:sz="4" w:space="0" w:color="auto"/>
              <w:right w:val="single" w:sz="4" w:space="0" w:color="auto"/>
            </w:tcBorders>
            <w:shd w:val="clear" w:color="auto" w:fill="FFFFFF" w:themeFill="background1"/>
          </w:tcPr>
          <w:p w14:paraId="244B278E" w14:textId="7A18D81B" w:rsidR="008772D5" w:rsidRPr="00C2785B" w:rsidRDefault="008772D5" w:rsidP="00627C91">
            <w:pPr>
              <w:spacing w:after="160" w:line="259" w:lineRule="auto"/>
            </w:pPr>
            <w:r>
              <w:t>X</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2393A11" w14:textId="26277FAB" w:rsidR="008772D5" w:rsidRPr="00C2785B" w:rsidRDefault="008772D5" w:rsidP="00627C91">
            <w:pPr>
              <w:spacing w:after="160" w:line="259" w:lineRule="auto"/>
            </w:pPr>
            <w:r>
              <w:t>X</w:t>
            </w:r>
          </w:p>
        </w:tc>
        <w:tc>
          <w:tcPr>
            <w:tcW w:w="1695" w:type="dxa"/>
            <w:tcBorders>
              <w:top w:val="single" w:sz="4" w:space="0" w:color="auto"/>
              <w:left w:val="single" w:sz="4" w:space="0" w:color="auto"/>
              <w:bottom w:val="single" w:sz="4" w:space="0" w:color="auto"/>
              <w:right w:val="single" w:sz="4" w:space="0" w:color="auto"/>
            </w:tcBorders>
            <w:shd w:val="clear" w:color="auto" w:fill="B9E0F3" w:themeFill="accent1" w:themeFillTint="33"/>
          </w:tcPr>
          <w:p w14:paraId="187582F5" w14:textId="5BF4375A" w:rsidR="008772D5" w:rsidRPr="00C2785B" w:rsidRDefault="008772D5" w:rsidP="00627C91">
            <w:pPr>
              <w:spacing w:after="160" w:line="259" w:lineRule="auto"/>
            </w:pPr>
            <w:r w:rsidRPr="006A05D7">
              <w:t>Existing staff and unit budget</w:t>
            </w:r>
            <w:r w:rsidRPr="006A05D7" w:rsidDel="006A05D7">
              <w:t xml:space="preserve"> </w:t>
            </w:r>
          </w:p>
        </w:tc>
      </w:tr>
      <w:tr w:rsidR="008772D5" w:rsidRPr="00C2785B" w14:paraId="0F9A8E8E" w14:textId="77777777" w:rsidTr="00AE743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57"/>
        </w:trPr>
        <w:tc>
          <w:tcPr>
            <w:tcW w:w="2263" w:type="dxa"/>
            <w:vMerge/>
            <w:tcBorders>
              <w:left w:val="single" w:sz="4" w:space="0" w:color="auto"/>
              <w:right w:val="single" w:sz="4" w:space="0" w:color="auto"/>
            </w:tcBorders>
            <w:shd w:val="clear" w:color="auto" w:fill="B9E0F3" w:themeFill="accent1" w:themeFillTint="33"/>
          </w:tcPr>
          <w:p w14:paraId="646639B7" w14:textId="77777777" w:rsidR="008772D5" w:rsidRPr="00FA5C60" w:rsidRDefault="008772D5" w:rsidP="00627C91">
            <w:pPr>
              <w:spacing w:line="259" w:lineRule="auto"/>
              <w:rPr>
                <w:b/>
                <w:bCs/>
              </w:rPr>
            </w:pPr>
          </w:p>
        </w:tc>
        <w:tc>
          <w:tcPr>
            <w:tcW w:w="5670" w:type="dxa"/>
            <w:tcBorders>
              <w:top w:val="single" w:sz="4" w:space="0" w:color="auto"/>
              <w:left w:val="single" w:sz="4" w:space="0" w:color="auto"/>
              <w:bottom w:val="single" w:sz="4" w:space="0" w:color="auto"/>
              <w:right w:val="single" w:sz="4" w:space="0" w:color="auto"/>
            </w:tcBorders>
            <w:shd w:val="clear" w:color="auto" w:fill="B9E0F3" w:themeFill="accent1" w:themeFillTint="33"/>
          </w:tcPr>
          <w:p w14:paraId="40C1141F" w14:textId="5578A6AC" w:rsidR="008772D5" w:rsidRPr="00C2785B" w:rsidRDefault="000616F6" w:rsidP="00627C91">
            <w:pPr>
              <w:spacing w:line="259" w:lineRule="auto"/>
            </w:pPr>
            <w:r w:rsidRPr="000616F6">
              <w:t xml:space="preserve">Consider suitability of Crisis/Emergency Accommodation and Transitional housing as a use during strategic assessment of land or property that is undergoing change of use or potential sale </w:t>
            </w:r>
          </w:p>
        </w:tc>
        <w:tc>
          <w:tcPr>
            <w:tcW w:w="2694" w:type="dxa"/>
            <w:tcBorders>
              <w:top w:val="single" w:sz="4" w:space="0" w:color="auto"/>
              <w:left w:val="single" w:sz="4" w:space="0" w:color="auto"/>
              <w:bottom w:val="single" w:sz="4" w:space="0" w:color="auto"/>
              <w:right w:val="single" w:sz="4" w:space="0" w:color="auto"/>
            </w:tcBorders>
            <w:shd w:val="clear" w:color="auto" w:fill="B9E0F3" w:themeFill="accent1" w:themeFillTint="33"/>
          </w:tcPr>
          <w:p w14:paraId="665AC6A2" w14:textId="77777777" w:rsidR="008772D5" w:rsidRDefault="00B73C09" w:rsidP="00627C91">
            <w:pPr>
              <w:spacing w:line="259" w:lineRule="auto"/>
            </w:pPr>
            <w:r>
              <w:t>Affordable Housing</w:t>
            </w:r>
          </w:p>
          <w:p w14:paraId="013EC6DB" w14:textId="77777777" w:rsidR="00AE462A" w:rsidRDefault="00AE462A" w:rsidP="00627C91">
            <w:pPr>
              <w:spacing w:line="259" w:lineRule="auto"/>
            </w:pPr>
            <w:r>
              <w:t>Community Wellbeing</w:t>
            </w:r>
          </w:p>
          <w:p w14:paraId="4A2DBFA7" w14:textId="0A30A837" w:rsidR="00AE462A" w:rsidRPr="00C2785B" w:rsidRDefault="00AE462A" w:rsidP="00627C91">
            <w:pPr>
              <w:spacing w:line="259" w:lineRule="auto"/>
            </w:pPr>
            <w:r>
              <w:t>Property</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81E5411" w14:textId="77777777" w:rsidR="008772D5" w:rsidRDefault="008772D5" w:rsidP="00627C91">
            <w:pPr>
              <w:spacing w:line="259" w:lineRule="auto"/>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1E8BE752" w14:textId="77777777" w:rsidR="008772D5" w:rsidRDefault="008772D5" w:rsidP="00627C91">
            <w:pPr>
              <w:spacing w:line="259" w:lineRule="auto"/>
            </w:pPr>
          </w:p>
        </w:tc>
        <w:tc>
          <w:tcPr>
            <w:tcW w:w="573" w:type="dxa"/>
            <w:tcBorders>
              <w:top w:val="single" w:sz="4" w:space="0" w:color="auto"/>
              <w:left w:val="single" w:sz="4" w:space="0" w:color="auto"/>
              <w:bottom w:val="single" w:sz="4" w:space="0" w:color="auto"/>
              <w:right w:val="single" w:sz="4" w:space="0" w:color="auto"/>
            </w:tcBorders>
            <w:shd w:val="clear" w:color="auto" w:fill="FFFFFF" w:themeFill="background1"/>
          </w:tcPr>
          <w:p w14:paraId="7835F1C7" w14:textId="7CBE600F" w:rsidR="008772D5" w:rsidRDefault="00105868" w:rsidP="00627C91">
            <w:pPr>
              <w:spacing w:line="259" w:lineRule="auto"/>
            </w:pPr>
            <w:r>
              <w:t>X</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88959F3" w14:textId="2E780F3E" w:rsidR="008772D5" w:rsidRDefault="00105868" w:rsidP="00627C91">
            <w:pPr>
              <w:spacing w:line="259" w:lineRule="auto"/>
            </w:pPr>
            <w:r>
              <w:t>X</w:t>
            </w:r>
          </w:p>
        </w:tc>
        <w:tc>
          <w:tcPr>
            <w:tcW w:w="1695" w:type="dxa"/>
            <w:tcBorders>
              <w:top w:val="single" w:sz="4" w:space="0" w:color="auto"/>
              <w:left w:val="single" w:sz="4" w:space="0" w:color="auto"/>
              <w:bottom w:val="single" w:sz="4" w:space="0" w:color="auto"/>
              <w:right w:val="single" w:sz="4" w:space="0" w:color="auto"/>
            </w:tcBorders>
            <w:shd w:val="clear" w:color="auto" w:fill="B9E0F3" w:themeFill="accent1" w:themeFillTint="33"/>
          </w:tcPr>
          <w:p w14:paraId="584CA674" w14:textId="24E64E52" w:rsidR="008772D5" w:rsidRPr="006A05D7" w:rsidRDefault="00945674" w:rsidP="00627C91">
            <w:pPr>
              <w:spacing w:line="259" w:lineRule="auto"/>
            </w:pPr>
            <w:r w:rsidRPr="006A05D7">
              <w:t>Existing staff and unit budget</w:t>
            </w:r>
          </w:p>
        </w:tc>
      </w:tr>
      <w:tr w:rsidR="00627C91" w:rsidRPr="00C2785B" w14:paraId="7CB30319" w14:textId="77777777" w:rsidTr="00AE743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67"/>
        </w:trPr>
        <w:tc>
          <w:tcPr>
            <w:tcW w:w="2263" w:type="dxa"/>
            <w:tcBorders>
              <w:top w:val="single" w:sz="4" w:space="0" w:color="auto"/>
              <w:left w:val="single" w:sz="4" w:space="0" w:color="auto"/>
              <w:bottom w:val="single" w:sz="4" w:space="0" w:color="auto"/>
              <w:right w:val="single" w:sz="4" w:space="0" w:color="auto"/>
            </w:tcBorders>
            <w:shd w:val="clear" w:color="auto" w:fill="B9E0F3" w:themeFill="accent1" w:themeFillTint="33"/>
          </w:tcPr>
          <w:p w14:paraId="46D1FFEC" w14:textId="61AAC8FE" w:rsidR="00627C91" w:rsidRPr="00FA5C60" w:rsidRDefault="00627C91" w:rsidP="00627C91">
            <w:pPr>
              <w:spacing w:after="160" w:line="259" w:lineRule="auto"/>
              <w:rPr>
                <w:b/>
                <w:bCs/>
              </w:rPr>
            </w:pPr>
            <w:r w:rsidRPr="00FA5C60">
              <w:rPr>
                <w:b/>
                <w:bCs/>
              </w:rPr>
              <w:t>2.</w:t>
            </w:r>
            <w:r>
              <w:rPr>
                <w:b/>
                <w:bCs/>
              </w:rPr>
              <w:t>3</w:t>
            </w:r>
            <w:r w:rsidRPr="00FA5C60">
              <w:rPr>
                <w:b/>
                <w:bCs/>
              </w:rPr>
              <w:t xml:space="preserve"> Explore partnership opportunities with Homes Victoria, other state agencies</w:t>
            </w:r>
            <w:r>
              <w:rPr>
                <w:b/>
                <w:bCs/>
              </w:rPr>
              <w:t>, residential developers</w:t>
            </w:r>
            <w:r w:rsidRPr="00FA5C60">
              <w:rPr>
                <w:b/>
                <w:bCs/>
              </w:rPr>
              <w:t xml:space="preserve"> and housing providers</w:t>
            </w:r>
          </w:p>
        </w:tc>
        <w:tc>
          <w:tcPr>
            <w:tcW w:w="5670" w:type="dxa"/>
            <w:tcBorders>
              <w:top w:val="single" w:sz="4" w:space="0" w:color="auto"/>
              <w:left w:val="single" w:sz="4" w:space="0" w:color="auto"/>
              <w:bottom w:val="single" w:sz="4" w:space="0" w:color="auto"/>
              <w:right w:val="single" w:sz="4" w:space="0" w:color="auto"/>
            </w:tcBorders>
            <w:shd w:val="clear" w:color="auto" w:fill="B9E0F3" w:themeFill="accent1" w:themeFillTint="33"/>
          </w:tcPr>
          <w:p w14:paraId="0153DB2D" w14:textId="482CDCBD" w:rsidR="00627C91" w:rsidRPr="00C2785B" w:rsidRDefault="00627C91" w:rsidP="00627C91">
            <w:pPr>
              <w:spacing w:after="160" w:line="259" w:lineRule="auto"/>
            </w:pPr>
            <w:r w:rsidRPr="00C2785B">
              <w:t>Work with</w:t>
            </w:r>
            <w:r>
              <w:t xml:space="preserve"> Homes Victoria,</w:t>
            </w:r>
            <w:r w:rsidRPr="00C2785B">
              <w:t xml:space="preserve"> registered housing providers, Not For Profit organisations, philanthropy and private organisations to partner on affordable housing developments</w:t>
            </w:r>
            <w:r>
              <w:t xml:space="preserve"> and renewal projects</w:t>
            </w:r>
            <w:r w:rsidR="00895C15">
              <w:t xml:space="preserve">, </w:t>
            </w:r>
            <w:r w:rsidR="00895C15" w:rsidRPr="00D107FE">
              <w:t>including Crisis/Emergency Accommodation, Transitional Housing and Housing First housing models</w:t>
            </w:r>
            <w:r w:rsidR="00D107FE" w:rsidRPr="00D107FE">
              <w:t>.</w:t>
            </w:r>
            <w:r>
              <w:t xml:space="preserve"> </w:t>
            </w:r>
          </w:p>
        </w:tc>
        <w:tc>
          <w:tcPr>
            <w:tcW w:w="2694" w:type="dxa"/>
            <w:tcBorders>
              <w:top w:val="single" w:sz="4" w:space="0" w:color="auto"/>
              <w:left w:val="single" w:sz="4" w:space="0" w:color="auto"/>
              <w:bottom w:val="single" w:sz="4" w:space="0" w:color="auto"/>
              <w:right w:val="single" w:sz="4" w:space="0" w:color="auto"/>
            </w:tcBorders>
            <w:shd w:val="clear" w:color="auto" w:fill="B9E0F3" w:themeFill="accent1" w:themeFillTint="33"/>
          </w:tcPr>
          <w:p w14:paraId="2EEBABE1" w14:textId="50B921E3" w:rsidR="00627C91" w:rsidRDefault="00966652" w:rsidP="00627C91">
            <w:pPr>
              <w:spacing w:after="160" w:line="259" w:lineRule="auto"/>
            </w:pPr>
            <w:r>
              <w:t>Affordable Housing</w:t>
            </w:r>
          </w:p>
          <w:p w14:paraId="222D90CF" w14:textId="77777777" w:rsidR="00627C91" w:rsidRDefault="00627C91" w:rsidP="00627C91">
            <w:pPr>
              <w:spacing w:after="160" w:line="259" w:lineRule="auto"/>
            </w:pPr>
            <w:r>
              <w:t>Place Revitalisation</w:t>
            </w:r>
          </w:p>
          <w:p w14:paraId="3298492F" w14:textId="1B62E5C2" w:rsidR="009335B0" w:rsidRDefault="009335B0" w:rsidP="00627C91">
            <w:pPr>
              <w:spacing w:after="160" w:line="259" w:lineRule="auto"/>
            </w:pPr>
            <w:r>
              <w:t>Community Wellbeing</w:t>
            </w:r>
          </w:p>
          <w:p w14:paraId="090C0A0B" w14:textId="73C02F83" w:rsidR="00627C91" w:rsidRPr="00C2785B" w:rsidRDefault="00627C91" w:rsidP="00627C91">
            <w:pPr>
              <w:spacing w:after="160" w:line="259" w:lineRule="auto"/>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DEA006B" w14:textId="54598056" w:rsidR="00627C91" w:rsidRPr="00C2785B" w:rsidRDefault="00627C91" w:rsidP="00627C91">
            <w:pPr>
              <w:spacing w:after="160" w:line="259" w:lineRule="auto"/>
            </w:pPr>
            <w:r>
              <w:t>X</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51EE599" w14:textId="089D4C72" w:rsidR="00627C91" w:rsidRPr="00C2785B" w:rsidRDefault="00627C91" w:rsidP="00627C91">
            <w:pPr>
              <w:spacing w:after="160" w:line="259" w:lineRule="auto"/>
            </w:pPr>
            <w:r>
              <w:t>X</w:t>
            </w:r>
          </w:p>
        </w:tc>
        <w:tc>
          <w:tcPr>
            <w:tcW w:w="573" w:type="dxa"/>
            <w:tcBorders>
              <w:top w:val="single" w:sz="4" w:space="0" w:color="auto"/>
              <w:left w:val="single" w:sz="4" w:space="0" w:color="auto"/>
              <w:bottom w:val="single" w:sz="4" w:space="0" w:color="auto"/>
              <w:right w:val="single" w:sz="4" w:space="0" w:color="auto"/>
            </w:tcBorders>
            <w:shd w:val="clear" w:color="auto" w:fill="FFFFFF" w:themeFill="background1"/>
          </w:tcPr>
          <w:p w14:paraId="0D5ADCD0" w14:textId="158A65CB" w:rsidR="00627C91" w:rsidRPr="00C2785B" w:rsidRDefault="00627C91" w:rsidP="00627C91">
            <w:pPr>
              <w:spacing w:after="160" w:line="259" w:lineRule="auto"/>
            </w:pPr>
            <w:r>
              <w:t>X</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1D5D88F" w14:textId="796FCEF2" w:rsidR="00627C91" w:rsidRPr="00C2785B" w:rsidRDefault="00627C91" w:rsidP="00627C91">
            <w:pPr>
              <w:spacing w:after="160" w:line="259" w:lineRule="auto"/>
            </w:pPr>
            <w:r>
              <w:t>X</w:t>
            </w:r>
          </w:p>
        </w:tc>
        <w:tc>
          <w:tcPr>
            <w:tcW w:w="1695" w:type="dxa"/>
            <w:tcBorders>
              <w:top w:val="single" w:sz="4" w:space="0" w:color="auto"/>
              <w:left w:val="single" w:sz="4" w:space="0" w:color="auto"/>
              <w:bottom w:val="single" w:sz="4" w:space="0" w:color="auto"/>
              <w:right w:val="single" w:sz="4" w:space="0" w:color="auto"/>
            </w:tcBorders>
            <w:shd w:val="clear" w:color="auto" w:fill="B9E0F3" w:themeFill="accent1" w:themeFillTint="33"/>
          </w:tcPr>
          <w:p w14:paraId="33E1E8F6" w14:textId="42FC598D" w:rsidR="00627C91" w:rsidRPr="00C2785B" w:rsidRDefault="006A05D7" w:rsidP="00627C91">
            <w:pPr>
              <w:spacing w:after="160" w:line="259" w:lineRule="auto"/>
            </w:pPr>
            <w:r w:rsidRPr="006A05D7">
              <w:t>Existing staff and unit budget</w:t>
            </w:r>
            <w:r w:rsidRPr="006A05D7" w:rsidDel="006A05D7">
              <w:t xml:space="preserve"> </w:t>
            </w:r>
          </w:p>
        </w:tc>
      </w:tr>
      <w:tr w:rsidR="00627C91" w:rsidRPr="00C2785B" w14:paraId="402AECAF" w14:textId="77777777" w:rsidTr="00AE743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67"/>
        </w:trPr>
        <w:tc>
          <w:tcPr>
            <w:tcW w:w="2263" w:type="dxa"/>
            <w:vMerge w:val="restart"/>
            <w:tcBorders>
              <w:top w:val="single" w:sz="4" w:space="0" w:color="auto"/>
              <w:left w:val="single" w:sz="4" w:space="0" w:color="auto"/>
              <w:right w:val="single" w:sz="4" w:space="0" w:color="auto"/>
            </w:tcBorders>
            <w:shd w:val="clear" w:color="auto" w:fill="B9E0F3" w:themeFill="accent1" w:themeFillTint="33"/>
          </w:tcPr>
          <w:p w14:paraId="20A91CB3" w14:textId="65BE3994" w:rsidR="00627C91" w:rsidRPr="00FA5C60" w:rsidRDefault="00627C91" w:rsidP="00627C91">
            <w:pPr>
              <w:tabs>
                <w:tab w:val="center" w:pos="1023"/>
              </w:tabs>
              <w:spacing w:line="259" w:lineRule="auto"/>
              <w:rPr>
                <w:b/>
                <w:bCs/>
              </w:rPr>
            </w:pPr>
            <w:r>
              <w:rPr>
                <w:b/>
                <w:bCs/>
              </w:rPr>
              <w:lastRenderedPageBreak/>
              <w:t xml:space="preserve">2.4 Partner with the </w:t>
            </w:r>
            <w:r w:rsidR="007B343E">
              <w:rPr>
                <w:b/>
                <w:bCs/>
              </w:rPr>
              <w:t>Homes Victoria</w:t>
            </w:r>
            <w:r>
              <w:rPr>
                <w:b/>
                <w:bCs/>
              </w:rPr>
              <w:t xml:space="preserve"> to implement the Social and Affordable Housing Compact and Local Agreements</w:t>
            </w:r>
          </w:p>
        </w:tc>
        <w:tc>
          <w:tcPr>
            <w:tcW w:w="5670" w:type="dxa"/>
            <w:tcBorders>
              <w:top w:val="single" w:sz="4" w:space="0" w:color="auto"/>
              <w:left w:val="single" w:sz="4" w:space="0" w:color="auto"/>
              <w:bottom w:val="single" w:sz="4" w:space="0" w:color="auto"/>
              <w:right w:val="single" w:sz="4" w:space="0" w:color="auto"/>
            </w:tcBorders>
            <w:shd w:val="clear" w:color="auto" w:fill="B9E0F3" w:themeFill="accent1" w:themeFillTint="33"/>
          </w:tcPr>
          <w:p w14:paraId="0D571803" w14:textId="67FB0307" w:rsidR="006A05D7" w:rsidRDefault="006A05D7" w:rsidP="00627C91">
            <w:pPr>
              <w:spacing w:line="259" w:lineRule="auto"/>
            </w:pPr>
            <w:r>
              <w:t>E</w:t>
            </w:r>
            <w:r w:rsidR="00627C91">
              <w:t>stablish a Local Agreement with Homes Victoria</w:t>
            </w:r>
            <w:r>
              <w:t xml:space="preserve"> (in conjunction with M9 Councils If determined appropriate) </w:t>
            </w:r>
          </w:p>
          <w:p w14:paraId="7949DC53" w14:textId="23B003D4" w:rsidR="00627C91" w:rsidRDefault="006A05D7" w:rsidP="00627C91">
            <w:pPr>
              <w:spacing w:line="259" w:lineRule="auto"/>
            </w:pPr>
            <w:r>
              <w:t xml:space="preserve">An agreement </w:t>
            </w:r>
            <w:r w:rsidR="00627C91">
              <w:t xml:space="preserve"> may include:</w:t>
            </w:r>
          </w:p>
          <w:p w14:paraId="433FD4DF" w14:textId="60A0D125" w:rsidR="00627C91" w:rsidRDefault="00627C91" w:rsidP="00627C91">
            <w:pPr>
              <w:pStyle w:val="ListParagraph"/>
              <w:numPr>
                <w:ilvl w:val="0"/>
                <w:numId w:val="25"/>
              </w:numPr>
              <w:spacing w:line="259" w:lineRule="auto"/>
            </w:pPr>
            <w:r w:rsidRPr="002C699C">
              <w:t>agreed local priorities for social and affordable housing</w:t>
            </w:r>
          </w:p>
          <w:p w14:paraId="235CBBC5" w14:textId="77777777" w:rsidR="00627C91" w:rsidRDefault="00627C91" w:rsidP="00627C91">
            <w:pPr>
              <w:pStyle w:val="ListParagraph"/>
              <w:numPr>
                <w:ilvl w:val="0"/>
                <w:numId w:val="25"/>
              </w:numPr>
              <w:spacing w:line="259" w:lineRule="auto"/>
            </w:pPr>
            <w:r w:rsidRPr="002C699C">
              <w:t>place-based responses to local housing issues and challenges</w:t>
            </w:r>
          </w:p>
          <w:p w14:paraId="330698DA" w14:textId="77777777" w:rsidR="00627C91" w:rsidRDefault="00627C91" w:rsidP="00627C91">
            <w:pPr>
              <w:pStyle w:val="ListParagraph"/>
              <w:numPr>
                <w:ilvl w:val="0"/>
                <w:numId w:val="25"/>
              </w:numPr>
              <w:spacing w:line="259" w:lineRule="auto"/>
            </w:pPr>
            <w:r w:rsidRPr="002C699C">
              <w:t xml:space="preserve">set out the specific roles and responsibilities of each party to the agreement </w:t>
            </w:r>
          </w:p>
          <w:p w14:paraId="12BEBD85" w14:textId="0F971B7F" w:rsidR="00627C91" w:rsidRPr="002C699C" w:rsidRDefault="00627C91" w:rsidP="00627C91">
            <w:pPr>
              <w:pStyle w:val="ListParagraph"/>
              <w:numPr>
                <w:ilvl w:val="0"/>
                <w:numId w:val="25"/>
              </w:numPr>
              <w:spacing w:line="259" w:lineRule="auto"/>
            </w:pPr>
            <w:r w:rsidRPr="002C699C">
              <w:t>establish agreed planning, information sharing, consultation and communication protocols</w:t>
            </w:r>
          </w:p>
        </w:tc>
        <w:tc>
          <w:tcPr>
            <w:tcW w:w="2694" w:type="dxa"/>
            <w:tcBorders>
              <w:top w:val="single" w:sz="4" w:space="0" w:color="auto"/>
              <w:left w:val="single" w:sz="4" w:space="0" w:color="auto"/>
              <w:bottom w:val="single" w:sz="4" w:space="0" w:color="auto"/>
              <w:right w:val="single" w:sz="4" w:space="0" w:color="auto"/>
            </w:tcBorders>
            <w:shd w:val="clear" w:color="auto" w:fill="B9E0F3" w:themeFill="accent1" w:themeFillTint="33"/>
          </w:tcPr>
          <w:p w14:paraId="5CD0021D" w14:textId="1DA89290" w:rsidR="00627C91" w:rsidRDefault="00966652" w:rsidP="00627C91">
            <w:pPr>
              <w:spacing w:after="160" w:line="259" w:lineRule="auto"/>
            </w:pPr>
            <w:r>
              <w:t>Affordable Housing</w:t>
            </w:r>
          </w:p>
          <w:p w14:paraId="3A795D86" w14:textId="4851D461" w:rsidR="00627C91" w:rsidRPr="00C2785B" w:rsidRDefault="00627C91" w:rsidP="00627C91">
            <w:pPr>
              <w:spacing w:after="160" w:line="259" w:lineRule="auto"/>
            </w:pPr>
            <w: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D05BF16" w14:textId="311D4B6E" w:rsidR="00627C91" w:rsidRDefault="00627C91" w:rsidP="00627C91">
            <w:pPr>
              <w:spacing w:line="259" w:lineRule="auto"/>
            </w:pPr>
            <w:r>
              <w:t>X</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40808DED" w14:textId="2FDFCCE0" w:rsidR="00627C91" w:rsidRDefault="00426DE1" w:rsidP="00627C91">
            <w:pPr>
              <w:spacing w:line="259" w:lineRule="auto"/>
            </w:pPr>
            <w:r>
              <w:t>X</w:t>
            </w:r>
          </w:p>
        </w:tc>
        <w:tc>
          <w:tcPr>
            <w:tcW w:w="573" w:type="dxa"/>
            <w:tcBorders>
              <w:top w:val="single" w:sz="4" w:space="0" w:color="auto"/>
              <w:left w:val="single" w:sz="4" w:space="0" w:color="auto"/>
              <w:bottom w:val="single" w:sz="4" w:space="0" w:color="auto"/>
              <w:right w:val="single" w:sz="4" w:space="0" w:color="auto"/>
            </w:tcBorders>
            <w:shd w:val="clear" w:color="auto" w:fill="FFFFFF" w:themeFill="background1"/>
          </w:tcPr>
          <w:p w14:paraId="1ED19C42" w14:textId="77777777" w:rsidR="00627C91" w:rsidRDefault="00627C91" w:rsidP="00627C91">
            <w:pPr>
              <w:spacing w:line="259" w:lineRule="auto"/>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A645DAD" w14:textId="77777777" w:rsidR="00627C91" w:rsidRDefault="00627C91" w:rsidP="00627C91">
            <w:pPr>
              <w:spacing w:line="259" w:lineRule="auto"/>
            </w:pPr>
          </w:p>
        </w:tc>
        <w:tc>
          <w:tcPr>
            <w:tcW w:w="1695" w:type="dxa"/>
            <w:tcBorders>
              <w:top w:val="single" w:sz="4" w:space="0" w:color="auto"/>
              <w:left w:val="single" w:sz="4" w:space="0" w:color="auto"/>
              <w:bottom w:val="single" w:sz="4" w:space="0" w:color="auto"/>
              <w:right w:val="single" w:sz="4" w:space="0" w:color="auto"/>
            </w:tcBorders>
            <w:shd w:val="clear" w:color="auto" w:fill="B9E0F3" w:themeFill="accent1" w:themeFillTint="33"/>
          </w:tcPr>
          <w:p w14:paraId="276A9D8D" w14:textId="328F9F27" w:rsidR="00627C91" w:rsidRPr="00C2785B" w:rsidRDefault="006A05D7" w:rsidP="00627C91">
            <w:pPr>
              <w:spacing w:line="259" w:lineRule="auto"/>
            </w:pPr>
            <w:r w:rsidRPr="006A05D7">
              <w:t>Existing staff and unit budget</w:t>
            </w:r>
          </w:p>
        </w:tc>
      </w:tr>
      <w:tr w:rsidR="00627C91" w:rsidRPr="00C2785B" w14:paraId="0FBBE886" w14:textId="77777777" w:rsidTr="00AE743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59"/>
        </w:trPr>
        <w:tc>
          <w:tcPr>
            <w:tcW w:w="2263" w:type="dxa"/>
            <w:vMerge/>
            <w:tcBorders>
              <w:left w:val="single" w:sz="4" w:space="0" w:color="auto"/>
              <w:bottom w:val="single" w:sz="4" w:space="0" w:color="auto"/>
              <w:right w:val="single" w:sz="4" w:space="0" w:color="auto"/>
            </w:tcBorders>
            <w:shd w:val="clear" w:color="auto" w:fill="B9E0F3" w:themeFill="accent1" w:themeFillTint="33"/>
          </w:tcPr>
          <w:p w14:paraId="7A5D463B" w14:textId="77777777" w:rsidR="00627C91" w:rsidRDefault="00627C91" w:rsidP="00627C91">
            <w:pPr>
              <w:tabs>
                <w:tab w:val="center" w:pos="1023"/>
              </w:tabs>
              <w:spacing w:line="259" w:lineRule="auto"/>
              <w:rPr>
                <w:b/>
                <w:bCs/>
              </w:rPr>
            </w:pPr>
          </w:p>
        </w:tc>
        <w:tc>
          <w:tcPr>
            <w:tcW w:w="5670" w:type="dxa"/>
            <w:tcBorders>
              <w:top w:val="single" w:sz="4" w:space="0" w:color="auto"/>
              <w:left w:val="single" w:sz="4" w:space="0" w:color="auto"/>
              <w:bottom w:val="single" w:sz="4" w:space="0" w:color="auto"/>
              <w:right w:val="single" w:sz="4" w:space="0" w:color="auto"/>
            </w:tcBorders>
            <w:shd w:val="clear" w:color="auto" w:fill="B9E0F3" w:themeFill="accent1" w:themeFillTint="33"/>
          </w:tcPr>
          <w:p w14:paraId="675C4E07" w14:textId="35496982" w:rsidR="00627C91" w:rsidRPr="002C699C" w:rsidRDefault="00627C91" w:rsidP="00627C91">
            <w:pPr>
              <w:pStyle w:val="ListParagraph"/>
              <w:numPr>
                <w:ilvl w:val="0"/>
                <w:numId w:val="26"/>
              </w:numPr>
              <w:spacing w:line="259" w:lineRule="auto"/>
            </w:pPr>
            <w:r w:rsidRPr="002C699C">
              <w:t>Monitor and implement the Local Agreement with Homes Victoria</w:t>
            </w:r>
          </w:p>
        </w:tc>
        <w:tc>
          <w:tcPr>
            <w:tcW w:w="2694" w:type="dxa"/>
            <w:tcBorders>
              <w:top w:val="single" w:sz="4" w:space="0" w:color="auto"/>
              <w:left w:val="single" w:sz="4" w:space="0" w:color="auto"/>
              <w:bottom w:val="single" w:sz="4" w:space="0" w:color="auto"/>
              <w:right w:val="single" w:sz="4" w:space="0" w:color="auto"/>
            </w:tcBorders>
            <w:shd w:val="clear" w:color="auto" w:fill="B9E0F3" w:themeFill="accent1" w:themeFillTint="33"/>
          </w:tcPr>
          <w:p w14:paraId="1B683ACD" w14:textId="6125F2E5" w:rsidR="00627C91" w:rsidRDefault="00966652" w:rsidP="008765D2">
            <w:pPr>
              <w:spacing w:line="259" w:lineRule="auto"/>
            </w:pPr>
            <w:r>
              <w:t>Affordable Housing</w:t>
            </w:r>
            <w:r w:rsidR="008765D2">
              <w:t>,</w:t>
            </w:r>
          </w:p>
          <w:p w14:paraId="08A49315" w14:textId="77777777" w:rsidR="00627C91" w:rsidRDefault="00627C91" w:rsidP="008765D2">
            <w:pPr>
              <w:spacing w:line="259" w:lineRule="auto"/>
            </w:pPr>
            <w:r>
              <w:t xml:space="preserve">Strategic Planning </w:t>
            </w:r>
          </w:p>
          <w:p w14:paraId="2CAB407B" w14:textId="77777777" w:rsidR="00627C91" w:rsidRDefault="00627C91" w:rsidP="008765D2">
            <w:pPr>
              <w:spacing w:line="259" w:lineRule="auto"/>
            </w:pPr>
            <w:r>
              <w:t xml:space="preserve">Urban Planning </w:t>
            </w:r>
          </w:p>
          <w:p w14:paraId="5B2A417A" w14:textId="40D57CD6" w:rsidR="00627C91" w:rsidRPr="00C2785B" w:rsidRDefault="00627C91" w:rsidP="008765D2">
            <w:pPr>
              <w:spacing w:line="259" w:lineRule="auto"/>
            </w:pPr>
            <w:r>
              <w:t>Property, Places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F1EC47A" w14:textId="77777777" w:rsidR="00627C91" w:rsidRDefault="00627C91" w:rsidP="00627C91">
            <w:pPr>
              <w:spacing w:line="259" w:lineRule="auto"/>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5A647062" w14:textId="70AB9DDD" w:rsidR="00627C91" w:rsidRDefault="00627C91" w:rsidP="00627C91">
            <w:pPr>
              <w:spacing w:line="259" w:lineRule="auto"/>
            </w:pPr>
            <w:r>
              <w:t>X</w:t>
            </w:r>
          </w:p>
        </w:tc>
        <w:tc>
          <w:tcPr>
            <w:tcW w:w="573" w:type="dxa"/>
            <w:tcBorders>
              <w:top w:val="single" w:sz="4" w:space="0" w:color="auto"/>
              <w:left w:val="single" w:sz="4" w:space="0" w:color="auto"/>
              <w:bottom w:val="single" w:sz="4" w:space="0" w:color="auto"/>
              <w:right w:val="single" w:sz="4" w:space="0" w:color="auto"/>
            </w:tcBorders>
            <w:shd w:val="clear" w:color="auto" w:fill="FFFFFF" w:themeFill="background1"/>
          </w:tcPr>
          <w:p w14:paraId="5A384760" w14:textId="7FA31F30" w:rsidR="00627C91" w:rsidRDefault="00627C91" w:rsidP="00627C91">
            <w:pPr>
              <w:spacing w:line="259" w:lineRule="auto"/>
            </w:pPr>
            <w:r>
              <w:t>X</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C171DAB" w14:textId="2FF07BFC" w:rsidR="00627C91" w:rsidRDefault="00627C91" w:rsidP="00627C91">
            <w:pPr>
              <w:spacing w:line="259" w:lineRule="auto"/>
            </w:pPr>
            <w:r>
              <w:t>X</w:t>
            </w:r>
          </w:p>
        </w:tc>
        <w:tc>
          <w:tcPr>
            <w:tcW w:w="1695" w:type="dxa"/>
            <w:tcBorders>
              <w:top w:val="single" w:sz="4" w:space="0" w:color="auto"/>
              <w:left w:val="single" w:sz="4" w:space="0" w:color="auto"/>
              <w:bottom w:val="single" w:sz="4" w:space="0" w:color="auto"/>
              <w:right w:val="single" w:sz="4" w:space="0" w:color="auto"/>
            </w:tcBorders>
            <w:shd w:val="clear" w:color="auto" w:fill="B9E0F3" w:themeFill="accent1" w:themeFillTint="33"/>
          </w:tcPr>
          <w:p w14:paraId="5DDA0342" w14:textId="4AD96B6A" w:rsidR="00627C91" w:rsidRPr="00C2785B" w:rsidRDefault="006A05D7" w:rsidP="00627C91">
            <w:pPr>
              <w:spacing w:line="259" w:lineRule="auto"/>
            </w:pPr>
            <w:r w:rsidRPr="006A05D7">
              <w:t>Existing staff and unit budget</w:t>
            </w:r>
          </w:p>
        </w:tc>
      </w:tr>
      <w:bookmarkEnd w:id="10"/>
      <w:tr w:rsidR="00627C91" w:rsidRPr="00C2785B" w14:paraId="30955FE8" w14:textId="77777777" w:rsidTr="00AE743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67"/>
        </w:trPr>
        <w:tc>
          <w:tcPr>
            <w:tcW w:w="2263" w:type="dxa"/>
            <w:tcBorders>
              <w:top w:val="single" w:sz="4" w:space="0" w:color="auto"/>
              <w:left w:val="single" w:sz="4" w:space="0" w:color="auto"/>
              <w:bottom w:val="single" w:sz="4" w:space="0" w:color="auto"/>
              <w:right w:val="single" w:sz="4" w:space="0" w:color="auto"/>
            </w:tcBorders>
            <w:shd w:val="clear" w:color="auto" w:fill="B9E0F3" w:themeFill="accent1" w:themeFillTint="33"/>
          </w:tcPr>
          <w:p w14:paraId="62957C61" w14:textId="11FAAFF5" w:rsidR="00627C91" w:rsidRPr="00FA5C60" w:rsidRDefault="00627C91" w:rsidP="00627C91">
            <w:pPr>
              <w:spacing w:line="259" w:lineRule="auto"/>
              <w:rPr>
                <w:b/>
                <w:bCs/>
              </w:rPr>
            </w:pPr>
            <w:r>
              <w:rPr>
                <w:b/>
                <w:bCs/>
              </w:rPr>
              <w:t>2.5 Strategically use</w:t>
            </w:r>
            <w:r w:rsidRPr="00BF0DB5">
              <w:rPr>
                <w:b/>
                <w:bCs/>
              </w:rPr>
              <w:t xml:space="preserve"> the M</w:t>
            </w:r>
            <w:r w:rsidR="00637474">
              <w:rPr>
                <w:b/>
                <w:bCs/>
              </w:rPr>
              <w:t>erri-bek</w:t>
            </w:r>
            <w:r w:rsidR="00F027BC">
              <w:rPr>
                <w:b/>
                <w:bCs/>
              </w:rPr>
              <w:t xml:space="preserve"> </w:t>
            </w:r>
            <w:r w:rsidRPr="00BF0DB5">
              <w:rPr>
                <w:b/>
                <w:bCs/>
              </w:rPr>
              <w:t xml:space="preserve">Housing </w:t>
            </w:r>
            <w:r w:rsidR="006A05D7">
              <w:rPr>
                <w:b/>
                <w:bCs/>
              </w:rPr>
              <w:t xml:space="preserve">Strategy </w:t>
            </w:r>
            <w:r w:rsidRPr="00BF0DB5">
              <w:rPr>
                <w:b/>
                <w:bCs/>
              </w:rPr>
              <w:t>Reserve</w:t>
            </w:r>
          </w:p>
        </w:tc>
        <w:tc>
          <w:tcPr>
            <w:tcW w:w="5670" w:type="dxa"/>
            <w:tcBorders>
              <w:top w:val="single" w:sz="4" w:space="0" w:color="auto"/>
              <w:left w:val="single" w:sz="4" w:space="0" w:color="auto"/>
              <w:bottom w:val="single" w:sz="4" w:space="0" w:color="auto"/>
              <w:right w:val="single" w:sz="4" w:space="0" w:color="auto"/>
            </w:tcBorders>
            <w:shd w:val="clear" w:color="auto" w:fill="B9E0F3" w:themeFill="accent1" w:themeFillTint="33"/>
          </w:tcPr>
          <w:p w14:paraId="1BD19059" w14:textId="30D54BD5" w:rsidR="00627C91" w:rsidRPr="00C2785B" w:rsidRDefault="00627C91" w:rsidP="00627C91">
            <w:pPr>
              <w:spacing w:line="259" w:lineRule="auto"/>
            </w:pPr>
            <w:r w:rsidRPr="00E40D99">
              <w:t>Update the</w:t>
            </w:r>
            <w:r w:rsidR="008C53C1">
              <w:t xml:space="preserve"> </w:t>
            </w:r>
            <w:r w:rsidRPr="00E40D99">
              <w:t xml:space="preserve"> Housing </w:t>
            </w:r>
            <w:r w:rsidR="00637474">
              <w:t>R</w:t>
            </w:r>
            <w:r w:rsidRPr="00E40D99">
              <w:t>eserve guidelines</w:t>
            </w:r>
            <w:r>
              <w:t xml:space="preserve"> to reflect strategic context and current priorities</w:t>
            </w:r>
          </w:p>
        </w:tc>
        <w:tc>
          <w:tcPr>
            <w:tcW w:w="2694" w:type="dxa"/>
            <w:tcBorders>
              <w:top w:val="single" w:sz="4" w:space="0" w:color="auto"/>
              <w:left w:val="single" w:sz="4" w:space="0" w:color="auto"/>
              <w:bottom w:val="single" w:sz="4" w:space="0" w:color="auto"/>
              <w:right w:val="single" w:sz="4" w:space="0" w:color="auto"/>
            </w:tcBorders>
            <w:shd w:val="clear" w:color="auto" w:fill="B9E0F3" w:themeFill="accent1" w:themeFillTint="33"/>
          </w:tcPr>
          <w:p w14:paraId="519B6A84" w14:textId="671E2156" w:rsidR="00627C91" w:rsidRPr="00C2785B" w:rsidRDefault="00966652" w:rsidP="00627C91">
            <w:pPr>
              <w:spacing w:line="259" w:lineRule="auto"/>
            </w:pPr>
            <w:r>
              <w:t>Affordable Housing</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2522F08" w14:textId="252374D7" w:rsidR="00627C91" w:rsidRDefault="00627C91" w:rsidP="00627C91">
            <w:pPr>
              <w:spacing w:line="259" w:lineRule="auto"/>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5E32105" w14:textId="5C462310" w:rsidR="00627C91" w:rsidRDefault="00EF4203" w:rsidP="00627C91">
            <w:pPr>
              <w:spacing w:line="259" w:lineRule="auto"/>
            </w:pPr>
            <w:r>
              <w:t>X</w:t>
            </w:r>
          </w:p>
        </w:tc>
        <w:tc>
          <w:tcPr>
            <w:tcW w:w="573" w:type="dxa"/>
            <w:tcBorders>
              <w:top w:val="single" w:sz="4" w:space="0" w:color="auto"/>
              <w:left w:val="single" w:sz="4" w:space="0" w:color="auto"/>
              <w:bottom w:val="single" w:sz="4" w:space="0" w:color="auto"/>
              <w:right w:val="single" w:sz="4" w:space="0" w:color="auto"/>
            </w:tcBorders>
            <w:shd w:val="clear" w:color="auto" w:fill="FFFFFF" w:themeFill="background1"/>
          </w:tcPr>
          <w:p w14:paraId="657691DC" w14:textId="77777777" w:rsidR="00627C91" w:rsidRDefault="00627C91" w:rsidP="00627C91">
            <w:pPr>
              <w:spacing w:line="259" w:lineRule="auto"/>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0C684FC" w14:textId="77777777" w:rsidR="00627C91" w:rsidRDefault="00627C91" w:rsidP="00627C91">
            <w:pPr>
              <w:spacing w:line="259" w:lineRule="auto"/>
            </w:pPr>
          </w:p>
        </w:tc>
        <w:tc>
          <w:tcPr>
            <w:tcW w:w="1695" w:type="dxa"/>
            <w:tcBorders>
              <w:top w:val="single" w:sz="4" w:space="0" w:color="auto"/>
              <w:left w:val="single" w:sz="4" w:space="0" w:color="auto"/>
              <w:bottom w:val="single" w:sz="4" w:space="0" w:color="auto"/>
              <w:right w:val="single" w:sz="4" w:space="0" w:color="auto"/>
            </w:tcBorders>
            <w:shd w:val="clear" w:color="auto" w:fill="B9E0F3" w:themeFill="accent1" w:themeFillTint="33"/>
          </w:tcPr>
          <w:p w14:paraId="2AE865C7" w14:textId="3A1C2B0D" w:rsidR="00627C91" w:rsidRPr="00C2785B" w:rsidRDefault="006A05D7" w:rsidP="00AD68C0">
            <w:pPr>
              <w:spacing w:after="160" w:line="259" w:lineRule="auto"/>
            </w:pPr>
            <w:r w:rsidRPr="006A05D7">
              <w:t>Existing staff and unit budget</w:t>
            </w:r>
            <w:r w:rsidR="00F415D4">
              <w:t xml:space="preserve">, </w:t>
            </w:r>
            <w:r w:rsidR="00DF61AF" w:rsidRPr="00C2785B">
              <w:t>Housing Reserve</w:t>
            </w:r>
          </w:p>
        </w:tc>
      </w:tr>
    </w:tbl>
    <w:p w14:paraId="0AED2EEF" w14:textId="2A162414" w:rsidR="00F074D0" w:rsidRPr="00AD68C0" w:rsidRDefault="00393D82" w:rsidP="00E07CBF">
      <w:pPr>
        <w:pStyle w:val="Heading2"/>
      </w:pPr>
      <w:r>
        <w:br w:type="page"/>
      </w:r>
      <w:bookmarkStart w:id="11" w:name="_Toc183183457"/>
      <w:r w:rsidR="00F074D0" w:rsidRPr="00393D82">
        <w:lastRenderedPageBreak/>
        <w:t xml:space="preserve">Focus Area 3 </w:t>
      </w:r>
      <w:r>
        <w:t>–</w:t>
      </w:r>
      <w:r w:rsidR="00F074D0" w:rsidRPr="00CF49AF">
        <w:t xml:space="preserve"> </w:t>
      </w:r>
      <w:r>
        <w:t xml:space="preserve">Research and </w:t>
      </w:r>
      <w:r w:rsidR="00F074D0" w:rsidRPr="00CF49AF">
        <w:t>Advocacy</w:t>
      </w:r>
      <w:bookmarkEnd w:id="11"/>
    </w:p>
    <w:p w14:paraId="0F054E1B" w14:textId="6297C002" w:rsidR="00F074D0" w:rsidRDefault="00F074D0" w:rsidP="00F074D0">
      <w:pPr>
        <w:pStyle w:val="NoSpacing"/>
      </w:pPr>
    </w:p>
    <w:tbl>
      <w:tblPr>
        <w:tblStyle w:val="TableGrid"/>
        <w:tblpPr w:leftFromText="180" w:rightFromText="180" w:vertAnchor="text" w:tblpX="-431" w:tblpY="1"/>
        <w:tblOverlap w:val="never"/>
        <w:tblW w:w="52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66"/>
        <w:gridCol w:w="5768"/>
        <w:gridCol w:w="2691"/>
        <w:gridCol w:w="566"/>
        <w:gridCol w:w="569"/>
        <w:gridCol w:w="566"/>
        <w:gridCol w:w="569"/>
        <w:gridCol w:w="1842"/>
      </w:tblGrid>
      <w:tr w:rsidR="00C56499" w:rsidRPr="00FA5C60" w14:paraId="7F837911" w14:textId="77777777" w:rsidTr="0052450D">
        <w:trPr>
          <w:trHeight w:val="418"/>
          <w:tblHeader/>
        </w:trPr>
        <w:tc>
          <w:tcPr>
            <w:tcW w:w="735" w:type="pct"/>
            <w:vMerge w:val="restart"/>
            <w:tcBorders>
              <w:top w:val="single" w:sz="4" w:space="0" w:color="auto"/>
              <w:left w:val="single" w:sz="4" w:space="0" w:color="auto"/>
              <w:right w:val="single" w:sz="4" w:space="0" w:color="auto"/>
            </w:tcBorders>
            <w:shd w:val="clear" w:color="auto" w:fill="808080" w:themeFill="text2" w:themeFillShade="80"/>
          </w:tcPr>
          <w:p w14:paraId="19108533" w14:textId="77777777" w:rsidR="00DD2542" w:rsidRPr="00FF569F" w:rsidRDefault="00DD2542" w:rsidP="001A360F">
            <w:pPr>
              <w:spacing w:after="160" w:line="259" w:lineRule="auto"/>
              <w:rPr>
                <w:b/>
                <w:bCs/>
                <w:color w:val="FFFFFF" w:themeColor="background1"/>
              </w:rPr>
            </w:pPr>
            <w:r w:rsidRPr="00FF569F">
              <w:rPr>
                <w:b/>
                <w:bCs/>
                <w:color w:val="FFFFFF" w:themeColor="background1"/>
              </w:rPr>
              <w:t>Action</w:t>
            </w:r>
          </w:p>
          <w:p w14:paraId="29D2A2DC" w14:textId="77777777" w:rsidR="00DD2542" w:rsidRPr="00FF569F" w:rsidRDefault="00DD2542" w:rsidP="001A360F">
            <w:pPr>
              <w:spacing w:after="160" w:line="259" w:lineRule="auto"/>
              <w:rPr>
                <w:b/>
                <w:bCs/>
                <w:color w:val="FFFFFF" w:themeColor="background1"/>
              </w:rPr>
            </w:pPr>
          </w:p>
        </w:tc>
        <w:tc>
          <w:tcPr>
            <w:tcW w:w="1957" w:type="pct"/>
            <w:vMerge w:val="restart"/>
            <w:tcBorders>
              <w:top w:val="single" w:sz="4" w:space="0" w:color="auto"/>
              <w:left w:val="single" w:sz="4" w:space="0" w:color="auto"/>
              <w:right w:val="single" w:sz="4" w:space="0" w:color="auto"/>
            </w:tcBorders>
            <w:shd w:val="clear" w:color="auto" w:fill="808080" w:themeFill="text2" w:themeFillShade="80"/>
          </w:tcPr>
          <w:p w14:paraId="10BEA7A5" w14:textId="77777777" w:rsidR="00DD2542" w:rsidRPr="00FF569F" w:rsidRDefault="00DD2542" w:rsidP="001A360F">
            <w:pPr>
              <w:spacing w:after="160" w:line="259" w:lineRule="auto"/>
              <w:rPr>
                <w:b/>
                <w:bCs/>
                <w:color w:val="FFFFFF" w:themeColor="background1"/>
              </w:rPr>
            </w:pPr>
            <w:r w:rsidRPr="00FF569F">
              <w:rPr>
                <w:b/>
                <w:bCs/>
                <w:color w:val="FFFFFF" w:themeColor="background1"/>
              </w:rPr>
              <w:t>Activities</w:t>
            </w:r>
          </w:p>
          <w:p w14:paraId="7D32109F" w14:textId="77777777" w:rsidR="00DD2542" w:rsidRPr="00FF569F" w:rsidRDefault="00DD2542" w:rsidP="001A360F">
            <w:pPr>
              <w:spacing w:after="160" w:line="259" w:lineRule="auto"/>
              <w:rPr>
                <w:b/>
                <w:bCs/>
                <w:color w:val="FFFFFF" w:themeColor="background1"/>
              </w:rPr>
            </w:pPr>
          </w:p>
        </w:tc>
        <w:tc>
          <w:tcPr>
            <w:tcW w:w="913" w:type="pct"/>
            <w:vMerge w:val="restart"/>
            <w:tcBorders>
              <w:top w:val="single" w:sz="4" w:space="0" w:color="auto"/>
              <w:left w:val="single" w:sz="4" w:space="0" w:color="auto"/>
              <w:right w:val="single" w:sz="4" w:space="0" w:color="auto"/>
            </w:tcBorders>
            <w:shd w:val="clear" w:color="auto" w:fill="808080" w:themeFill="text2" w:themeFillShade="80"/>
          </w:tcPr>
          <w:p w14:paraId="206AB369" w14:textId="41D7CF6A" w:rsidR="00DD2542" w:rsidRPr="00FF569F" w:rsidRDefault="00993B2E" w:rsidP="001A360F">
            <w:pPr>
              <w:spacing w:after="160" w:line="259" w:lineRule="auto"/>
              <w:rPr>
                <w:b/>
                <w:bCs/>
                <w:color w:val="FFFFFF" w:themeColor="background1"/>
              </w:rPr>
            </w:pPr>
            <w:r w:rsidRPr="00993B2E">
              <w:rPr>
                <w:b/>
                <w:bCs/>
                <w:color w:val="FFFFFF" w:themeColor="background1"/>
              </w:rPr>
              <w:t>Lead Unit /</w:t>
            </w:r>
            <w:r w:rsidR="007B0848">
              <w:rPr>
                <w:b/>
                <w:bCs/>
                <w:color w:val="FFFFFF" w:themeColor="background1"/>
              </w:rPr>
              <w:t xml:space="preserve"> </w:t>
            </w:r>
            <w:r w:rsidRPr="00993B2E">
              <w:rPr>
                <w:b/>
                <w:bCs/>
                <w:color w:val="FFFFFF" w:themeColor="background1"/>
              </w:rPr>
              <w:t>Supporting Unit(s)</w:t>
            </w:r>
          </w:p>
        </w:tc>
        <w:tc>
          <w:tcPr>
            <w:tcW w:w="770" w:type="pct"/>
            <w:gridSpan w:val="4"/>
            <w:tcBorders>
              <w:top w:val="single" w:sz="4" w:space="0" w:color="auto"/>
              <w:left w:val="single" w:sz="4" w:space="0" w:color="auto"/>
              <w:bottom w:val="single" w:sz="4" w:space="0" w:color="auto"/>
              <w:right w:val="single" w:sz="4" w:space="0" w:color="auto"/>
            </w:tcBorders>
            <w:shd w:val="clear" w:color="auto" w:fill="808080" w:themeFill="text2" w:themeFillShade="80"/>
          </w:tcPr>
          <w:p w14:paraId="7422A075" w14:textId="40CF28E5" w:rsidR="00DD2542" w:rsidRPr="00FF569F" w:rsidRDefault="00DD2542" w:rsidP="001A360F">
            <w:pPr>
              <w:spacing w:after="160" w:line="259" w:lineRule="auto"/>
              <w:rPr>
                <w:b/>
                <w:bCs/>
                <w:color w:val="FFFFFF" w:themeColor="background1"/>
              </w:rPr>
            </w:pPr>
            <w:r w:rsidRPr="00FF569F">
              <w:rPr>
                <w:b/>
                <w:bCs/>
                <w:color w:val="FFFFFF" w:themeColor="background1"/>
              </w:rPr>
              <w:t>Timing</w:t>
            </w:r>
          </w:p>
        </w:tc>
        <w:tc>
          <w:tcPr>
            <w:tcW w:w="625" w:type="pct"/>
            <w:vMerge w:val="restart"/>
            <w:tcBorders>
              <w:top w:val="single" w:sz="4" w:space="0" w:color="auto"/>
              <w:left w:val="single" w:sz="4" w:space="0" w:color="auto"/>
              <w:right w:val="single" w:sz="4" w:space="0" w:color="auto"/>
            </w:tcBorders>
            <w:shd w:val="clear" w:color="auto" w:fill="808080" w:themeFill="text2" w:themeFillShade="80"/>
          </w:tcPr>
          <w:p w14:paraId="6F729632" w14:textId="77777777" w:rsidR="00DD2542" w:rsidRPr="00FF569F" w:rsidRDefault="00DD2542" w:rsidP="001A360F">
            <w:pPr>
              <w:spacing w:after="160" w:line="259" w:lineRule="auto"/>
              <w:rPr>
                <w:b/>
                <w:bCs/>
                <w:color w:val="FFFFFF" w:themeColor="background1"/>
              </w:rPr>
            </w:pPr>
            <w:r w:rsidRPr="00FF569F">
              <w:rPr>
                <w:b/>
                <w:bCs/>
                <w:color w:val="FFFFFF" w:themeColor="background1"/>
              </w:rPr>
              <w:t>Resources</w:t>
            </w:r>
          </w:p>
          <w:p w14:paraId="19F8F95F" w14:textId="77777777" w:rsidR="00DD2542" w:rsidRPr="00FF569F" w:rsidRDefault="00DD2542" w:rsidP="001A360F">
            <w:pPr>
              <w:spacing w:after="160" w:line="259" w:lineRule="auto"/>
              <w:rPr>
                <w:b/>
                <w:bCs/>
                <w:color w:val="FFFFFF" w:themeColor="background1"/>
              </w:rPr>
            </w:pPr>
          </w:p>
        </w:tc>
      </w:tr>
      <w:tr w:rsidR="00F415D4" w:rsidRPr="00FA5C60" w14:paraId="7A2A059E" w14:textId="77777777" w:rsidTr="00F415D4">
        <w:trPr>
          <w:trHeight w:val="275"/>
          <w:tblHeader/>
        </w:trPr>
        <w:tc>
          <w:tcPr>
            <w:tcW w:w="735" w:type="pct"/>
            <w:vMerge/>
            <w:tcBorders>
              <w:left w:val="single" w:sz="4" w:space="0" w:color="auto"/>
              <w:bottom w:val="single" w:sz="4" w:space="0" w:color="auto"/>
              <w:right w:val="single" w:sz="4" w:space="0" w:color="auto"/>
            </w:tcBorders>
            <w:shd w:val="clear" w:color="auto" w:fill="883B1C" w:themeFill="accent2" w:themeFillShade="BF"/>
          </w:tcPr>
          <w:p w14:paraId="71C86CEC" w14:textId="77777777" w:rsidR="00DD2542" w:rsidRPr="00FA5C60" w:rsidRDefault="00DD2542" w:rsidP="001A360F">
            <w:pPr>
              <w:spacing w:after="160" w:line="259" w:lineRule="auto"/>
              <w:rPr>
                <w:b/>
                <w:bCs/>
              </w:rPr>
            </w:pPr>
          </w:p>
        </w:tc>
        <w:tc>
          <w:tcPr>
            <w:tcW w:w="1957" w:type="pct"/>
            <w:vMerge/>
            <w:tcBorders>
              <w:left w:val="single" w:sz="4" w:space="0" w:color="auto"/>
              <w:bottom w:val="single" w:sz="4" w:space="0" w:color="auto"/>
              <w:right w:val="single" w:sz="4" w:space="0" w:color="auto"/>
            </w:tcBorders>
            <w:shd w:val="clear" w:color="auto" w:fill="883B1C" w:themeFill="accent2" w:themeFillShade="BF"/>
          </w:tcPr>
          <w:p w14:paraId="31077B5E" w14:textId="77777777" w:rsidR="00DD2542" w:rsidRPr="00FA5C60" w:rsidRDefault="00DD2542" w:rsidP="001A360F">
            <w:pPr>
              <w:spacing w:after="160" w:line="259" w:lineRule="auto"/>
              <w:rPr>
                <w:b/>
                <w:bCs/>
              </w:rPr>
            </w:pPr>
          </w:p>
        </w:tc>
        <w:tc>
          <w:tcPr>
            <w:tcW w:w="913" w:type="pct"/>
            <w:vMerge/>
            <w:tcBorders>
              <w:left w:val="single" w:sz="4" w:space="0" w:color="auto"/>
              <w:bottom w:val="single" w:sz="4" w:space="0" w:color="auto"/>
              <w:right w:val="single" w:sz="4" w:space="0" w:color="auto"/>
            </w:tcBorders>
            <w:shd w:val="clear" w:color="auto" w:fill="883B1C" w:themeFill="accent2" w:themeFillShade="BF"/>
          </w:tcPr>
          <w:p w14:paraId="071492B4" w14:textId="77777777" w:rsidR="00DD2542" w:rsidRPr="00FA5C60" w:rsidRDefault="00DD2542" w:rsidP="001A360F">
            <w:pPr>
              <w:spacing w:after="160" w:line="259" w:lineRule="auto"/>
              <w:rPr>
                <w:b/>
                <w:bCs/>
              </w:rPr>
            </w:pPr>
          </w:p>
        </w:tc>
        <w:tc>
          <w:tcPr>
            <w:tcW w:w="192" w:type="pct"/>
            <w:tcBorders>
              <w:top w:val="single" w:sz="4" w:space="0" w:color="auto"/>
              <w:left w:val="single" w:sz="4" w:space="0" w:color="auto"/>
              <w:bottom w:val="single" w:sz="4" w:space="0" w:color="auto"/>
              <w:right w:val="single" w:sz="4" w:space="0" w:color="auto"/>
            </w:tcBorders>
            <w:shd w:val="clear" w:color="auto" w:fill="C1BAB0" w:themeFill="accent6"/>
          </w:tcPr>
          <w:p w14:paraId="3B4CB6CB" w14:textId="77777777" w:rsidR="00DD2542" w:rsidRPr="00FF569F" w:rsidDel="007377E0" w:rsidRDefault="00DD2542" w:rsidP="001A360F">
            <w:pPr>
              <w:spacing w:after="160" w:line="259" w:lineRule="auto"/>
              <w:rPr>
                <w:b/>
                <w:bCs/>
                <w:color w:val="FFFFFF" w:themeColor="background1"/>
              </w:rPr>
            </w:pPr>
            <w:r w:rsidRPr="00FF569F">
              <w:rPr>
                <w:b/>
                <w:bCs/>
                <w:color w:val="FFFFFF" w:themeColor="background1"/>
              </w:rPr>
              <w:t xml:space="preserve">Y1 </w:t>
            </w:r>
          </w:p>
        </w:tc>
        <w:tc>
          <w:tcPr>
            <w:tcW w:w="193" w:type="pct"/>
            <w:tcBorders>
              <w:top w:val="single" w:sz="4" w:space="0" w:color="auto"/>
              <w:left w:val="single" w:sz="4" w:space="0" w:color="auto"/>
              <w:bottom w:val="single" w:sz="4" w:space="0" w:color="auto"/>
              <w:right w:val="single" w:sz="4" w:space="0" w:color="auto"/>
            </w:tcBorders>
            <w:shd w:val="clear" w:color="auto" w:fill="C1BAB0" w:themeFill="accent6"/>
          </w:tcPr>
          <w:p w14:paraId="090D5474" w14:textId="77777777" w:rsidR="00DD2542" w:rsidRPr="00FF569F" w:rsidRDefault="00DD2542" w:rsidP="001A360F">
            <w:pPr>
              <w:spacing w:after="160" w:line="259" w:lineRule="auto"/>
              <w:rPr>
                <w:b/>
                <w:bCs/>
                <w:color w:val="FFFFFF" w:themeColor="background1"/>
              </w:rPr>
            </w:pPr>
            <w:r w:rsidRPr="00FF569F">
              <w:rPr>
                <w:b/>
                <w:bCs/>
                <w:color w:val="FFFFFF" w:themeColor="background1"/>
              </w:rPr>
              <w:t xml:space="preserve">Y2   </w:t>
            </w:r>
          </w:p>
        </w:tc>
        <w:tc>
          <w:tcPr>
            <w:tcW w:w="192" w:type="pct"/>
            <w:tcBorders>
              <w:top w:val="single" w:sz="4" w:space="0" w:color="auto"/>
              <w:left w:val="single" w:sz="4" w:space="0" w:color="auto"/>
              <w:bottom w:val="single" w:sz="4" w:space="0" w:color="auto"/>
              <w:right w:val="single" w:sz="4" w:space="0" w:color="auto"/>
            </w:tcBorders>
            <w:shd w:val="clear" w:color="auto" w:fill="C1BAB0" w:themeFill="accent6"/>
          </w:tcPr>
          <w:p w14:paraId="5F6D9D49" w14:textId="77777777" w:rsidR="00DD2542" w:rsidRPr="00FF569F" w:rsidRDefault="00DD2542" w:rsidP="001A360F">
            <w:pPr>
              <w:spacing w:after="160" w:line="259" w:lineRule="auto"/>
              <w:rPr>
                <w:b/>
                <w:bCs/>
                <w:color w:val="FFFFFF" w:themeColor="background1"/>
              </w:rPr>
            </w:pPr>
            <w:r w:rsidRPr="00FF569F">
              <w:rPr>
                <w:b/>
                <w:bCs/>
                <w:color w:val="FFFFFF" w:themeColor="background1"/>
              </w:rPr>
              <w:t>Y3</w:t>
            </w:r>
          </w:p>
        </w:tc>
        <w:tc>
          <w:tcPr>
            <w:tcW w:w="193" w:type="pct"/>
            <w:tcBorders>
              <w:top w:val="single" w:sz="4" w:space="0" w:color="auto"/>
              <w:left w:val="single" w:sz="4" w:space="0" w:color="auto"/>
              <w:bottom w:val="single" w:sz="4" w:space="0" w:color="auto"/>
              <w:right w:val="single" w:sz="4" w:space="0" w:color="auto"/>
            </w:tcBorders>
            <w:shd w:val="clear" w:color="auto" w:fill="C1BAB0" w:themeFill="accent6"/>
          </w:tcPr>
          <w:p w14:paraId="0B37EDBD" w14:textId="77777777" w:rsidR="00DD2542" w:rsidRPr="00FF569F" w:rsidRDefault="00DD2542" w:rsidP="001A360F">
            <w:pPr>
              <w:spacing w:after="160" w:line="259" w:lineRule="auto"/>
              <w:rPr>
                <w:b/>
                <w:bCs/>
                <w:color w:val="FFFFFF" w:themeColor="background1"/>
              </w:rPr>
            </w:pPr>
            <w:r w:rsidRPr="00FF569F">
              <w:rPr>
                <w:b/>
                <w:bCs/>
                <w:color w:val="FFFFFF" w:themeColor="background1"/>
              </w:rPr>
              <w:t>Y4</w:t>
            </w:r>
          </w:p>
        </w:tc>
        <w:tc>
          <w:tcPr>
            <w:tcW w:w="625" w:type="pct"/>
            <w:vMerge/>
            <w:tcBorders>
              <w:left w:val="single" w:sz="4" w:space="0" w:color="auto"/>
              <w:bottom w:val="single" w:sz="4" w:space="0" w:color="auto"/>
              <w:right w:val="single" w:sz="4" w:space="0" w:color="auto"/>
            </w:tcBorders>
            <w:shd w:val="clear" w:color="auto" w:fill="C1BAB0" w:themeFill="accent6"/>
          </w:tcPr>
          <w:p w14:paraId="7BA81491" w14:textId="77777777" w:rsidR="00DD2542" w:rsidRPr="00FA5C60" w:rsidRDefault="00DD2542" w:rsidP="001A360F">
            <w:pPr>
              <w:spacing w:after="160" w:line="259" w:lineRule="auto"/>
              <w:rPr>
                <w:b/>
                <w:bCs/>
              </w:rPr>
            </w:pPr>
          </w:p>
        </w:tc>
      </w:tr>
      <w:tr w:rsidR="00EB36D4" w:rsidRPr="00C2785B" w14:paraId="12EEF38F" w14:textId="77777777" w:rsidTr="00AE743E">
        <w:trPr>
          <w:trHeight w:val="798"/>
        </w:trPr>
        <w:tc>
          <w:tcPr>
            <w:tcW w:w="735" w:type="pct"/>
            <w:vMerge w:val="restart"/>
            <w:tcBorders>
              <w:top w:val="single" w:sz="4" w:space="0" w:color="auto"/>
              <w:left w:val="single" w:sz="4" w:space="0" w:color="auto"/>
              <w:right w:val="single" w:sz="4" w:space="0" w:color="auto"/>
            </w:tcBorders>
            <w:shd w:val="clear" w:color="auto" w:fill="F2F1EF" w:themeFill="accent6" w:themeFillTint="33"/>
          </w:tcPr>
          <w:p w14:paraId="392683D9" w14:textId="18310CE1" w:rsidR="00EB36D4" w:rsidRPr="00FA5C60" w:rsidRDefault="00EB36D4" w:rsidP="001A360F">
            <w:pPr>
              <w:spacing w:after="160" w:line="259" w:lineRule="auto"/>
              <w:rPr>
                <w:b/>
                <w:bCs/>
              </w:rPr>
            </w:pPr>
            <w:bookmarkStart w:id="12" w:name="_Hlk111208268"/>
            <w:r w:rsidRPr="00FA5C60">
              <w:rPr>
                <w:b/>
                <w:bCs/>
              </w:rPr>
              <w:t xml:space="preserve">3.1 Collect data and </w:t>
            </w:r>
            <w:r>
              <w:rPr>
                <w:b/>
                <w:bCs/>
              </w:rPr>
              <w:t xml:space="preserve">undertake </w:t>
            </w:r>
            <w:r w:rsidRPr="00FA5C60">
              <w:rPr>
                <w:b/>
                <w:bCs/>
              </w:rPr>
              <w:t>research to support future policy development</w:t>
            </w:r>
          </w:p>
          <w:p w14:paraId="159CE2A4" w14:textId="77777777" w:rsidR="00EB36D4" w:rsidRPr="00FA5C60" w:rsidRDefault="00EB36D4" w:rsidP="001A360F">
            <w:pPr>
              <w:spacing w:after="160" w:line="259" w:lineRule="auto"/>
              <w:rPr>
                <w:b/>
                <w:bCs/>
              </w:rPr>
            </w:pPr>
          </w:p>
        </w:tc>
        <w:tc>
          <w:tcPr>
            <w:tcW w:w="1957" w:type="pct"/>
            <w:tcBorders>
              <w:top w:val="single" w:sz="4" w:space="0" w:color="auto"/>
              <w:left w:val="single" w:sz="4" w:space="0" w:color="auto"/>
              <w:bottom w:val="single" w:sz="4" w:space="0" w:color="auto"/>
              <w:right w:val="single" w:sz="4" w:space="0" w:color="auto"/>
            </w:tcBorders>
            <w:shd w:val="clear" w:color="auto" w:fill="F2F1EF" w:themeFill="accent6" w:themeFillTint="33"/>
          </w:tcPr>
          <w:p w14:paraId="3E9C9A3B" w14:textId="77777777" w:rsidR="00EB36D4" w:rsidRDefault="00EB36D4" w:rsidP="001A360F">
            <w:pPr>
              <w:spacing w:after="160" w:line="259" w:lineRule="auto"/>
            </w:pPr>
            <w:r w:rsidRPr="00C2785B">
              <w:t xml:space="preserve">Update </w:t>
            </w:r>
            <w:r w:rsidRPr="00FF569F">
              <w:rPr>
                <w:i/>
                <w:iCs/>
              </w:rPr>
              <w:t>A Home in Moreland</w:t>
            </w:r>
            <w:r>
              <w:rPr>
                <w:i/>
                <w:iCs/>
              </w:rPr>
              <w:t xml:space="preserve"> with new data and </w:t>
            </w:r>
            <w:r>
              <w:t xml:space="preserve">include </w:t>
            </w:r>
            <w:r w:rsidRPr="00C2785B">
              <w:t>targeted research into housing cohorts and geographical areas</w:t>
            </w:r>
            <w:r>
              <w:t xml:space="preserve"> </w:t>
            </w:r>
          </w:p>
          <w:p w14:paraId="3EAF7A01" w14:textId="18CE54EC" w:rsidR="00EB36D4" w:rsidRPr="00C2785B" w:rsidRDefault="00EB36D4" w:rsidP="001A360F">
            <w:pPr>
              <w:spacing w:after="160" w:line="259" w:lineRule="auto"/>
            </w:pPr>
          </w:p>
        </w:tc>
        <w:tc>
          <w:tcPr>
            <w:tcW w:w="913" w:type="pct"/>
            <w:tcBorders>
              <w:top w:val="single" w:sz="4" w:space="0" w:color="auto"/>
              <w:left w:val="single" w:sz="4" w:space="0" w:color="auto"/>
              <w:bottom w:val="single" w:sz="4" w:space="0" w:color="auto"/>
              <w:right w:val="single" w:sz="4" w:space="0" w:color="auto"/>
            </w:tcBorders>
            <w:shd w:val="clear" w:color="auto" w:fill="F2F1EF" w:themeFill="accent6" w:themeFillTint="33"/>
          </w:tcPr>
          <w:p w14:paraId="0C4395AF" w14:textId="1CEC21BB" w:rsidR="00EB36D4" w:rsidRPr="00C2785B" w:rsidRDefault="00966652" w:rsidP="001A360F">
            <w:pPr>
              <w:spacing w:after="160" w:line="259" w:lineRule="auto"/>
            </w:pPr>
            <w:r>
              <w:t>Affordable Housing</w:t>
            </w:r>
          </w:p>
          <w:p w14:paraId="6CE85CB1" w14:textId="77777777" w:rsidR="00EB36D4" w:rsidRPr="00C2785B" w:rsidRDefault="00EB36D4" w:rsidP="001A360F">
            <w:pPr>
              <w:spacing w:after="160" w:line="259" w:lineRule="auto"/>
            </w:pPr>
          </w:p>
        </w:tc>
        <w:tc>
          <w:tcPr>
            <w:tcW w:w="192" w:type="pct"/>
            <w:tcBorders>
              <w:top w:val="single" w:sz="4" w:space="0" w:color="auto"/>
              <w:left w:val="single" w:sz="4" w:space="0" w:color="auto"/>
              <w:bottom w:val="single" w:sz="4" w:space="0" w:color="auto"/>
              <w:right w:val="single" w:sz="4" w:space="0" w:color="auto"/>
            </w:tcBorders>
            <w:shd w:val="clear" w:color="auto" w:fill="FFFFFF" w:themeFill="background1"/>
          </w:tcPr>
          <w:p w14:paraId="2938D475" w14:textId="3A115097" w:rsidR="00EB36D4" w:rsidRPr="00C2785B" w:rsidRDefault="00EB36D4" w:rsidP="001A360F">
            <w:pPr>
              <w:spacing w:after="160" w:line="259" w:lineRule="auto"/>
            </w:pPr>
            <w:r>
              <w:t>X</w:t>
            </w: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14:paraId="043B648C" w14:textId="37C37C20" w:rsidR="00EB36D4" w:rsidRPr="00C2785B" w:rsidRDefault="00EB36D4" w:rsidP="001A360F">
            <w:pPr>
              <w:spacing w:after="160" w:line="259" w:lineRule="auto"/>
            </w:pPr>
            <w:r>
              <w:t>X</w:t>
            </w:r>
          </w:p>
        </w:tc>
        <w:tc>
          <w:tcPr>
            <w:tcW w:w="192" w:type="pct"/>
            <w:tcBorders>
              <w:top w:val="single" w:sz="4" w:space="0" w:color="auto"/>
              <w:left w:val="single" w:sz="4" w:space="0" w:color="auto"/>
              <w:bottom w:val="single" w:sz="4" w:space="0" w:color="auto"/>
              <w:right w:val="single" w:sz="4" w:space="0" w:color="auto"/>
            </w:tcBorders>
            <w:shd w:val="clear" w:color="auto" w:fill="FFFFFF" w:themeFill="background1"/>
          </w:tcPr>
          <w:p w14:paraId="758D12BE" w14:textId="77777777" w:rsidR="00EB36D4" w:rsidRPr="00C2785B" w:rsidRDefault="00EB36D4" w:rsidP="001A360F">
            <w:pPr>
              <w:spacing w:after="160" w:line="259" w:lineRule="auto"/>
            </w:pP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14:paraId="4014F298" w14:textId="77777777" w:rsidR="00EB36D4" w:rsidRPr="00C2785B" w:rsidRDefault="00EB36D4" w:rsidP="001A360F">
            <w:pPr>
              <w:spacing w:after="160" w:line="259" w:lineRule="auto"/>
            </w:pPr>
          </w:p>
        </w:tc>
        <w:tc>
          <w:tcPr>
            <w:tcW w:w="625" w:type="pct"/>
            <w:tcBorders>
              <w:top w:val="single" w:sz="4" w:space="0" w:color="auto"/>
              <w:left w:val="single" w:sz="4" w:space="0" w:color="auto"/>
              <w:bottom w:val="single" w:sz="4" w:space="0" w:color="auto"/>
              <w:right w:val="single" w:sz="4" w:space="0" w:color="auto"/>
            </w:tcBorders>
            <w:shd w:val="clear" w:color="auto" w:fill="F2F1EF" w:themeFill="accent6" w:themeFillTint="33"/>
          </w:tcPr>
          <w:p w14:paraId="7EAB7686" w14:textId="640BEE69" w:rsidR="00EB36D4" w:rsidRPr="00C2785B" w:rsidRDefault="00EB36D4" w:rsidP="001A360F">
            <w:pPr>
              <w:spacing w:after="160" w:line="259" w:lineRule="auto"/>
            </w:pPr>
            <w:r w:rsidRPr="00E473E5">
              <w:t>Existing staff and unit budget</w:t>
            </w:r>
          </w:p>
        </w:tc>
      </w:tr>
      <w:tr w:rsidR="00EB36D4" w:rsidRPr="00C2785B" w14:paraId="49EBA45F" w14:textId="77777777" w:rsidTr="00AE743E">
        <w:trPr>
          <w:trHeight w:val="786"/>
        </w:trPr>
        <w:tc>
          <w:tcPr>
            <w:tcW w:w="735" w:type="pct"/>
            <w:vMerge/>
            <w:tcBorders>
              <w:left w:val="single" w:sz="4" w:space="0" w:color="auto"/>
              <w:right w:val="single" w:sz="4" w:space="0" w:color="auto"/>
            </w:tcBorders>
            <w:shd w:val="clear" w:color="auto" w:fill="F2F1EF" w:themeFill="accent6" w:themeFillTint="33"/>
          </w:tcPr>
          <w:p w14:paraId="2131286A" w14:textId="77777777" w:rsidR="00EB36D4" w:rsidRPr="00FA5C60" w:rsidRDefault="00EB36D4" w:rsidP="001A360F">
            <w:pPr>
              <w:spacing w:after="160" w:line="259" w:lineRule="auto"/>
              <w:rPr>
                <w:b/>
                <w:bCs/>
              </w:rPr>
            </w:pPr>
          </w:p>
        </w:tc>
        <w:tc>
          <w:tcPr>
            <w:tcW w:w="1957" w:type="pct"/>
            <w:tcBorders>
              <w:top w:val="single" w:sz="4" w:space="0" w:color="auto"/>
              <w:left w:val="single" w:sz="4" w:space="0" w:color="auto"/>
              <w:bottom w:val="single" w:sz="4" w:space="0" w:color="auto"/>
              <w:right w:val="single" w:sz="4" w:space="0" w:color="auto"/>
            </w:tcBorders>
            <w:shd w:val="clear" w:color="auto" w:fill="F2F1EF" w:themeFill="accent6" w:themeFillTint="33"/>
          </w:tcPr>
          <w:p w14:paraId="75E837AE" w14:textId="218989E7" w:rsidR="00EB36D4" w:rsidRPr="00C2785B" w:rsidRDefault="00EB36D4" w:rsidP="001A360F">
            <w:pPr>
              <w:spacing w:after="160" w:line="259" w:lineRule="auto"/>
            </w:pPr>
            <w:r w:rsidRPr="00C2785B">
              <w:t xml:space="preserve">Develop plain English </w:t>
            </w:r>
            <w:r>
              <w:t xml:space="preserve">and </w:t>
            </w:r>
            <w:r w:rsidRPr="00C2785B">
              <w:t xml:space="preserve">materials </w:t>
            </w:r>
            <w:r>
              <w:t xml:space="preserve">in languages other than English </w:t>
            </w:r>
            <w:r w:rsidRPr="00C2785B">
              <w:t xml:space="preserve">of housing need for different cohorts and publish </w:t>
            </w:r>
            <w:r>
              <w:t>for future advocacy and community education.</w:t>
            </w:r>
          </w:p>
        </w:tc>
        <w:tc>
          <w:tcPr>
            <w:tcW w:w="913" w:type="pct"/>
            <w:tcBorders>
              <w:top w:val="single" w:sz="4" w:space="0" w:color="auto"/>
              <w:left w:val="single" w:sz="4" w:space="0" w:color="auto"/>
              <w:bottom w:val="single" w:sz="4" w:space="0" w:color="auto"/>
              <w:right w:val="single" w:sz="4" w:space="0" w:color="auto"/>
            </w:tcBorders>
            <w:shd w:val="clear" w:color="auto" w:fill="F2F1EF" w:themeFill="accent6" w:themeFillTint="33"/>
          </w:tcPr>
          <w:p w14:paraId="764CAF68" w14:textId="2DCD240F" w:rsidR="00EB36D4" w:rsidRDefault="00966652" w:rsidP="001A360F">
            <w:pPr>
              <w:spacing w:after="160" w:line="259" w:lineRule="auto"/>
            </w:pPr>
            <w:r>
              <w:t>Affordable Housing</w:t>
            </w:r>
          </w:p>
          <w:p w14:paraId="4941272A" w14:textId="77777777" w:rsidR="00EB36D4" w:rsidRDefault="00EB36D4" w:rsidP="001A360F">
            <w:pPr>
              <w:spacing w:after="160" w:line="259" w:lineRule="auto"/>
            </w:pPr>
            <w:r w:rsidRPr="00C2785B">
              <w:t>Communications</w:t>
            </w:r>
          </w:p>
          <w:p w14:paraId="68AD11DC" w14:textId="0F022ED8" w:rsidR="00EB36D4" w:rsidRPr="00C2785B" w:rsidRDefault="00EB36D4" w:rsidP="001A360F">
            <w:pPr>
              <w:spacing w:after="160" w:line="259" w:lineRule="auto"/>
            </w:pPr>
            <w:r>
              <w:t>Community Engagement</w:t>
            </w:r>
          </w:p>
        </w:tc>
        <w:tc>
          <w:tcPr>
            <w:tcW w:w="192" w:type="pct"/>
            <w:tcBorders>
              <w:top w:val="single" w:sz="4" w:space="0" w:color="auto"/>
              <w:left w:val="single" w:sz="4" w:space="0" w:color="auto"/>
              <w:bottom w:val="single" w:sz="4" w:space="0" w:color="auto"/>
              <w:right w:val="single" w:sz="4" w:space="0" w:color="auto"/>
            </w:tcBorders>
            <w:shd w:val="clear" w:color="auto" w:fill="FFFFFF" w:themeFill="background1"/>
          </w:tcPr>
          <w:p w14:paraId="5293044E" w14:textId="77777777" w:rsidR="00EB36D4" w:rsidRPr="00C2785B" w:rsidRDefault="00EB36D4" w:rsidP="001A360F">
            <w:pPr>
              <w:spacing w:after="160" w:line="259" w:lineRule="auto"/>
            </w:pP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14:paraId="6D1906F0" w14:textId="2A91DC2A" w:rsidR="00EB36D4" w:rsidRPr="00C2785B" w:rsidRDefault="00EB36D4" w:rsidP="001A360F">
            <w:pPr>
              <w:spacing w:after="160" w:line="259" w:lineRule="auto"/>
            </w:pPr>
            <w:r>
              <w:t>X</w:t>
            </w:r>
          </w:p>
        </w:tc>
        <w:tc>
          <w:tcPr>
            <w:tcW w:w="192" w:type="pct"/>
            <w:tcBorders>
              <w:top w:val="single" w:sz="4" w:space="0" w:color="auto"/>
              <w:left w:val="single" w:sz="4" w:space="0" w:color="auto"/>
              <w:bottom w:val="single" w:sz="4" w:space="0" w:color="auto"/>
              <w:right w:val="single" w:sz="4" w:space="0" w:color="auto"/>
            </w:tcBorders>
            <w:shd w:val="clear" w:color="auto" w:fill="FFFFFF" w:themeFill="background1"/>
          </w:tcPr>
          <w:p w14:paraId="742C26E3" w14:textId="77777777" w:rsidR="00EB36D4" w:rsidRPr="00C2785B" w:rsidRDefault="00EB36D4" w:rsidP="001A360F">
            <w:pPr>
              <w:spacing w:after="160" w:line="259" w:lineRule="auto"/>
            </w:pP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14:paraId="5CDCBC7D" w14:textId="77777777" w:rsidR="00EB36D4" w:rsidRPr="00C2785B" w:rsidRDefault="00EB36D4" w:rsidP="001A360F">
            <w:pPr>
              <w:spacing w:after="160" w:line="259" w:lineRule="auto"/>
            </w:pPr>
          </w:p>
        </w:tc>
        <w:tc>
          <w:tcPr>
            <w:tcW w:w="625" w:type="pct"/>
            <w:tcBorders>
              <w:top w:val="single" w:sz="4" w:space="0" w:color="auto"/>
              <w:left w:val="single" w:sz="4" w:space="0" w:color="auto"/>
              <w:bottom w:val="single" w:sz="4" w:space="0" w:color="auto"/>
              <w:right w:val="single" w:sz="4" w:space="0" w:color="auto"/>
            </w:tcBorders>
            <w:shd w:val="clear" w:color="auto" w:fill="F2F1EF" w:themeFill="accent6" w:themeFillTint="33"/>
          </w:tcPr>
          <w:p w14:paraId="1B37E227" w14:textId="38C62490" w:rsidR="00EB36D4" w:rsidRPr="00C2785B" w:rsidRDefault="00EB36D4" w:rsidP="001A360F">
            <w:pPr>
              <w:spacing w:after="160" w:line="259" w:lineRule="auto"/>
            </w:pPr>
            <w:r w:rsidRPr="00EB0AA6">
              <w:t>Existing staff and unit budget</w:t>
            </w:r>
          </w:p>
        </w:tc>
      </w:tr>
      <w:tr w:rsidR="00EB36D4" w:rsidRPr="00C2785B" w14:paraId="649841D6" w14:textId="77777777" w:rsidTr="00AE743E">
        <w:trPr>
          <w:trHeight w:val="786"/>
        </w:trPr>
        <w:tc>
          <w:tcPr>
            <w:tcW w:w="735" w:type="pct"/>
            <w:vMerge/>
            <w:tcBorders>
              <w:left w:val="single" w:sz="4" w:space="0" w:color="auto"/>
              <w:right w:val="single" w:sz="4" w:space="0" w:color="auto"/>
            </w:tcBorders>
            <w:shd w:val="clear" w:color="auto" w:fill="F2F1EF" w:themeFill="accent6" w:themeFillTint="33"/>
          </w:tcPr>
          <w:p w14:paraId="136D4B2B" w14:textId="77777777" w:rsidR="00EB36D4" w:rsidRPr="00FA5C60" w:rsidRDefault="00EB36D4" w:rsidP="001A360F">
            <w:pPr>
              <w:spacing w:line="259" w:lineRule="auto"/>
              <w:rPr>
                <w:b/>
                <w:bCs/>
              </w:rPr>
            </w:pPr>
          </w:p>
        </w:tc>
        <w:tc>
          <w:tcPr>
            <w:tcW w:w="1957" w:type="pct"/>
            <w:tcBorders>
              <w:top w:val="single" w:sz="4" w:space="0" w:color="auto"/>
              <w:left w:val="single" w:sz="4" w:space="0" w:color="auto"/>
              <w:bottom w:val="single" w:sz="4" w:space="0" w:color="auto"/>
              <w:right w:val="single" w:sz="4" w:space="0" w:color="auto"/>
            </w:tcBorders>
            <w:shd w:val="clear" w:color="auto" w:fill="F2F1EF" w:themeFill="accent6" w:themeFillTint="33"/>
          </w:tcPr>
          <w:p w14:paraId="62E95CE7" w14:textId="4ADB262B" w:rsidR="00EB36D4" w:rsidRPr="00C2785B" w:rsidRDefault="00EB36D4" w:rsidP="001A360F">
            <w:pPr>
              <w:spacing w:line="259" w:lineRule="auto"/>
            </w:pPr>
            <w:r>
              <w:t>U</w:t>
            </w:r>
            <w:r w:rsidRPr="007C3961">
              <w:t>ndertake data collection and analysis</w:t>
            </w:r>
            <w:r>
              <w:t xml:space="preserve"> of housing affordability t</w:t>
            </w:r>
            <w:r w:rsidRPr="00C2785B">
              <w:t>hrough the lens of 20-minute neighbourhoods</w:t>
            </w:r>
            <w:r>
              <w:t xml:space="preserve"> and</w:t>
            </w:r>
            <w:r w:rsidRPr="00C2785B">
              <w:t xml:space="preserve"> make recommendations </w:t>
            </w:r>
            <w:r>
              <w:t>about how the planning scheme could deliver more</w:t>
            </w:r>
            <w:r w:rsidRPr="00C2785B">
              <w:t xml:space="preserve"> key worker housing.</w:t>
            </w:r>
          </w:p>
        </w:tc>
        <w:tc>
          <w:tcPr>
            <w:tcW w:w="913" w:type="pct"/>
            <w:tcBorders>
              <w:top w:val="single" w:sz="4" w:space="0" w:color="auto"/>
              <w:left w:val="single" w:sz="4" w:space="0" w:color="auto"/>
              <w:bottom w:val="single" w:sz="4" w:space="0" w:color="auto"/>
              <w:right w:val="single" w:sz="4" w:space="0" w:color="auto"/>
            </w:tcBorders>
            <w:shd w:val="clear" w:color="auto" w:fill="F2F1EF" w:themeFill="accent6" w:themeFillTint="33"/>
          </w:tcPr>
          <w:p w14:paraId="1938BA1B" w14:textId="3FBA1C70" w:rsidR="00EB36D4" w:rsidRDefault="00EB36D4" w:rsidP="001A360F">
            <w:pPr>
              <w:spacing w:line="259" w:lineRule="auto"/>
            </w:pPr>
            <w:r>
              <w:t>Strategic Planning</w:t>
            </w:r>
          </w:p>
          <w:p w14:paraId="61E1C1B6" w14:textId="77777777" w:rsidR="00EB36D4" w:rsidRDefault="00EB36D4" w:rsidP="001A360F">
            <w:pPr>
              <w:spacing w:line="259" w:lineRule="auto"/>
            </w:pPr>
          </w:p>
          <w:p w14:paraId="37830EE3" w14:textId="704E9FD0" w:rsidR="00EB36D4" w:rsidRDefault="00966652" w:rsidP="001A360F">
            <w:pPr>
              <w:spacing w:line="259" w:lineRule="auto"/>
            </w:pPr>
            <w:r>
              <w:t>Affordable Housing</w:t>
            </w:r>
            <w:r w:rsidR="00EB36D4">
              <w:t xml:space="preserve"> </w:t>
            </w:r>
          </w:p>
          <w:p w14:paraId="2D9DF12C" w14:textId="65CCDC5D" w:rsidR="00EB36D4" w:rsidRPr="00C2785B" w:rsidRDefault="00EB36D4" w:rsidP="001A360F">
            <w:pPr>
              <w:spacing w:line="259" w:lineRule="auto"/>
            </w:pPr>
          </w:p>
        </w:tc>
        <w:tc>
          <w:tcPr>
            <w:tcW w:w="192" w:type="pct"/>
            <w:tcBorders>
              <w:top w:val="single" w:sz="4" w:space="0" w:color="auto"/>
              <w:left w:val="single" w:sz="4" w:space="0" w:color="auto"/>
              <w:bottom w:val="single" w:sz="4" w:space="0" w:color="auto"/>
              <w:right w:val="single" w:sz="4" w:space="0" w:color="auto"/>
            </w:tcBorders>
            <w:shd w:val="clear" w:color="auto" w:fill="FFFFFF" w:themeFill="background1"/>
          </w:tcPr>
          <w:p w14:paraId="1F39E400" w14:textId="77777777" w:rsidR="00EB36D4" w:rsidRPr="00C2785B" w:rsidRDefault="00EB36D4" w:rsidP="001A360F">
            <w:pPr>
              <w:spacing w:line="259" w:lineRule="auto"/>
            </w:pP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14:paraId="0AECA4A0" w14:textId="7675EED0" w:rsidR="00EB36D4" w:rsidRDefault="00EB36D4" w:rsidP="001A360F">
            <w:pPr>
              <w:spacing w:line="259" w:lineRule="auto"/>
            </w:pPr>
            <w:r>
              <w:t>X</w:t>
            </w:r>
          </w:p>
        </w:tc>
        <w:tc>
          <w:tcPr>
            <w:tcW w:w="192" w:type="pct"/>
            <w:tcBorders>
              <w:top w:val="single" w:sz="4" w:space="0" w:color="auto"/>
              <w:left w:val="single" w:sz="4" w:space="0" w:color="auto"/>
              <w:bottom w:val="single" w:sz="4" w:space="0" w:color="auto"/>
              <w:right w:val="single" w:sz="4" w:space="0" w:color="auto"/>
            </w:tcBorders>
            <w:shd w:val="clear" w:color="auto" w:fill="FFFFFF" w:themeFill="background1"/>
          </w:tcPr>
          <w:p w14:paraId="337452AF" w14:textId="77777777" w:rsidR="00EB36D4" w:rsidRPr="00C2785B" w:rsidRDefault="00EB36D4" w:rsidP="001A360F">
            <w:pPr>
              <w:spacing w:line="259" w:lineRule="auto"/>
            </w:pP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14:paraId="1094E522" w14:textId="77777777" w:rsidR="00EB36D4" w:rsidRPr="00C2785B" w:rsidRDefault="00EB36D4" w:rsidP="001A360F">
            <w:pPr>
              <w:spacing w:line="259" w:lineRule="auto"/>
            </w:pPr>
          </w:p>
        </w:tc>
        <w:tc>
          <w:tcPr>
            <w:tcW w:w="625" w:type="pct"/>
            <w:tcBorders>
              <w:top w:val="single" w:sz="4" w:space="0" w:color="auto"/>
              <w:left w:val="single" w:sz="4" w:space="0" w:color="auto"/>
              <w:bottom w:val="single" w:sz="4" w:space="0" w:color="auto"/>
              <w:right w:val="single" w:sz="4" w:space="0" w:color="auto"/>
            </w:tcBorders>
            <w:shd w:val="clear" w:color="auto" w:fill="F2F1EF" w:themeFill="accent6" w:themeFillTint="33"/>
          </w:tcPr>
          <w:p w14:paraId="3B270FDC" w14:textId="4616D451" w:rsidR="00EB36D4" w:rsidRPr="00C2785B" w:rsidRDefault="00EB36D4" w:rsidP="001A360F">
            <w:pPr>
              <w:spacing w:line="259" w:lineRule="auto"/>
            </w:pPr>
            <w:r w:rsidRPr="00993B2E">
              <w:t>Base</w:t>
            </w:r>
            <w:r>
              <w:t xml:space="preserve">; scope subject to additional funding </w:t>
            </w:r>
          </w:p>
        </w:tc>
      </w:tr>
      <w:tr w:rsidR="00EB36D4" w:rsidRPr="00C2785B" w14:paraId="6C5A22C3" w14:textId="77777777" w:rsidTr="00AE743E">
        <w:trPr>
          <w:cantSplit/>
          <w:trHeight w:val="786"/>
        </w:trPr>
        <w:tc>
          <w:tcPr>
            <w:tcW w:w="735" w:type="pct"/>
            <w:vMerge/>
            <w:tcBorders>
              <w:left w:val="single" w:sz="4" w:space="0" w:color="auto"/>
              <w:right w:val="single" w:sz="4" w:space="0" w:color="auto"/>
            </w:tcBorders>
            <w:shd w:val="clear" w:color="auto" w:fill="F2F1EF" w:themeFill="accent6" w:themeFillTint="33"/>
          </w:tcPr>
          <w:p w14:paraId="7DDD8949" w14:textId="77777777" w:rsidR="00EB36D4" w:rsidRPr="00FA5C60" w:rsidRDefault="00EB36D4" w:rsidP="001A360F">
            <w:pPr>
              <w:spacing w:line="259" w:lineRule="auto"/>
              <w:rPr>
                <w:b/>
                <w:bCs/>
              </w:rPr>
            </w:pPr>
          </w:p>
        </w:tc>
        <w:tc>
          <w:tcPr>
            <w:tcW w:w="1957" w:type="pct"/>
            <w:tcBorders>
              <w:top w:val="single" w:sz="4" w:space="0" w:color="auto"/>
              <w:left w:val="single" w:sz="4" w:space="0" w:color="auto"/>
              <w:bottom w:val="single" w:sz="4" w:space="0" w:color="auto"/>
              <w:right w:val="single" w:sz="4" w:space="0" w:color="auto"/>
            </w:tcBorders>
            <w:shd w:val="clear" w:color="auto" w:fill="F2F1EF" w:themeFill="accent6" w:themeFillTint="33"/>
          </w:tcPr>
          <w:p w14:paraId="36E8BB6B" w14:textId="6E881338" w:rsidR="00EB36D4" w:rsidRDefault="00EB36D4" w:rsidP="001A360F">
            <w:pPr>
              <w:spacing w:line="259" w:lineRule="auto"/>
            </w:pPr>
            <w:r>
              <w:t xml:space="preserve">Support the use of Post Occupancy and </w:t>
            </w:r>
            <w:r w:rsidR="00F027BC">
              <w:t>place-based</w:t>
            </w:r>
            <w:r>
              <w:t xml:space="preserve"> research to improve long-term housing outcomes</w:t>
            </w:r>
          </w:p>
        </w:tc>
        <w:tc>
          <w:tcPr>
            <w:tcW w:w="913" w:type="pct"/>
            <w:tcBorders>
              <w:top w:val="single" w:sz="4" w:space="0" w:color="auto"/>
              <w:left w:val="single" w:sz="4" w:space="0" w:color="auto"/>
              <w:bottom w:val="single" w:sz="4" w:space="0" w:color="auto"/>
              <w:right w:val="single" w:sz="4" w:space="0" w:color="auto"/>
            </w:tcBorders>
            <w:shd w:val="clear" w:color="auto" w:fill="F2F1EF" w:themeFill="accent6" w:themeFillTint="33"/>
          </w:tcPr>
          <w:p w14:paraId="75EBDB1B" w14:textId="636D9EAC" w:rsidR="00EB36D4" w:rsidRDefault="00966652" w:rsidP="00EB0AA6">
            <w:pPr>
              <w:spacing w:line="259" w:lineRule="auto"/>
            </w:pPr>
            <w:r>
              <w:t>Affordable Housing</w:t>
            </w:r>
          </w:p>
          <w:p w14:paraId="376F50C6" w14:textId="6E768C5D" w:rsidR="00EB36D4" w:rsidRDefault="00EB36D4" w:rsidP="00EB0AA6">
            <w:pPr>
              <w:spacing w:line="259" w:lineRule="auto"/>
            </w:pPr>
            <w:r>
              <w:t xml:space="preserve">Places </w:t>
            </w:r>
          </w:p>
          <w:p w14:paraId="196AC221" w14:textId="77777777" w:rsidR="00EB36D4" w:rsidRDefault="00EB36D4" w:rsidP="001A360F">
            <w:pPr>
              <w:spacing w:line="259" w:lineRule="auto"/>
            </w:pPr>
          </w:p>
        </w:tc>
        <w:tc>
          <w:tcPr>
            <w:tcW w:w="192" w:type="pct"/>
            <w:tcBorders>
              <w:top w:val="single" w:sz="4" w:space="0" w:color="auto"/>
              <w:left w:val="single" w:sz="4" w:space="0" w:color="auto"/>
              <w:bottom w:val="single" w:sz="4" w:space="0" w:color="auto"/>
              <w:right w:val="single" w:sz="4" w:space="0" w:color="auto"/>
            </w:tcBorders>
            <w:shd w:val="clear" w:color="auto" w:fill="FFFFFF" w:themeFill="background1"/>
          </w:tcPr>
          <w:p w14:paraId="2FA61FB1" w14:textId="77777777" w:rsidR="00EB36D4" w:rsidRPr="00C2785B" w:rsidRDefault="00EB36D4" w:rsidP="001A360F">
            <w:pPr>
              <w:spacing w:line="259" w:lineRule="auto"/>
            </w:pP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14:paraId="131A8984" w14:textId="77777777" w:rsidR="00EB36D4" w:rsidRDefault="00EB36D4" w:rsidP="001A360F">
            <w:pPr>
              <w:spacing w:line="259" w:lineRule="auto"/>
            </w:pPr>
          </w:p>
        </w:tc>
        <w:tc>
          <w:tcPr>
            <w:tcW w:w="192" w:type="pct"/>
            <w:tcBorders>
              <w:top w:val="single" w:sz="4" w:space="0" w:color="auto"/>
              <w:left w:val="single" w:sz="4" w:space="0" w:color="auto"/>
              <w:bottom w:val="single" w:sz="4" w:space="0" w:color="auto"/>
              <w:right w:val="single" w:sz="4" w:space="0" w:color="auto"/>
            </w:tcBorders>
            <w:shd w:val="clear" w:color="auto" w:fill="FFFFFF" w:themeFill="background1"/>
          </w:tcPr>
          <w:p w14:paraId="7C1A59FA" w14:textId="3A9C1DEE" w:rsidR="00EB36D4" w:rsidRPr="00C2785B" w:rsidRDefault="00EB36D4" w:rsidP="001A360F">
            <w:pPr>
              <w:spacing w:line="259" w:lineRule="auto"/>
            </w:pPr>
            <w:r>
              <w:t>X</w:t>
            </w: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14:paraId="19FAC189" w14:textId="123506B6" w:rsidR="00EB36D4" w:rsidRPr="00C2785B" w:rsidRDefault="00EB36D4" w:rsidP="001A360F">
            <w:pPr>
              <w:spacing w:line="259" w:lineRule="auto"/>
            </w:pPr>
            <w:r>
              <w:t>X</w:t>
            </w:r>
          </w:p>
        </w:tc>
        <w:tc>
          <w:tcPr>
            <w:tcW w:w="625" w:type="pct"/>
            <w:tcBorders>
              <w:top w:val="single" w:sz="4" w:space="0" w:color="auto"/>
              <w:left w:val="single" w:sz="4" w:space="0" w:color="auto"/>
              <w:bottom w:val="single" w:sz="4" w:space="0" w:color="auto"/>
              <w:right w:val="single" w:sz="4" w:space="0" w:color="auto"/>
            </w:tcBorders>
            <w:shd w:val="clear" w:color="auto" w:fill="F2F1EF" w:themeFill="accent6" w:themeFillTint="33"/>
          </w:tcPr>
          <w:p w14:paraId="43DF6608" w14:textId="3CB7B65B" w:rsidR="00EB36D4" w:rsidRPr="00993B2E" w:rsidRDefault="00EB36D4" w:rsidP="001A360F">
            <w:pPr>
              <w:spacing w:line="259" w:lineRule="auto"/>
            </w:pPr>
            <w:r w:rsidRPr="00EB0AA6">
              <w:t>Existing staff and unit budget</w:t>
            </w:r>
            <w:r>
              <w:t xml:space="preserve">.  scope subject to additional funding </w:t>
            </w:r>
          </w:p>
        </w:tc>
      </w:tr>
      <w:tr w:rsidR="00EB36D4" w:rsidRPr="00C2785B" w14:paraId="4067CE0F" w14:textId="77777777" w:rsidTr="00AE743E">
        <w:trPr>
          <w:trHeight w:val="786"/>
        </w:trPr>
        <w:tc>
          <w:tcPr>
            <w:tcW w:w="735" w:type="pct"/>
            <w:vMerge/>
            <w:tcBorders>
              <w:left w:val="single" w:sz="4" w:space="0" w:color="auto"/>
              <w:right w:val="single" w:sz="4" w:space="0" w:color="auto"/>
            </w:tcBorders>
            <w:shd w:val="clear" w:color="auto" w:fill="F2F1EF" w:themeFill="accent6" w:themeFillTint="33"/>
          </w:tcPr>
          <w:p w14:paraId="7383C3E5" w14:textId="77777777" w:rsidR="00EB36D4" w:rsidRPr="00FA5C60" w:rsidRDefault="00EB36D4" w:rsidP="001A360F">
            <w:pPr>
              <w:spacing w:line="259" w:lineRule="auto"/>
              <w:rPr>
                <w:b/>
                <w:bCs/>
              </w:rPr>
            </w:pPr>
          </w:p>
        </w:tc>
        <w:tc>
          <w:tcPr>
            <w:tcW w:w="1957" w:type="pct"/>
            <w:tcBorders>
              <w:top w:val="single" w:sz="4" w:space="0" w:color="auto"/>
              <w:left w:val="single" w:sz="4" w:space="0" w:color="auto"/>
              <w:bottom w:val="single" w:sz="4" w:space="0" w:color="auto"/>
              <w:right w:val="single" w:sz="4" w:space="0" w:color="auto"/>
            </w:tcBorders>
            <w:shd w:val="clear" w:color="auto" w:fill="F2F1EF" w:themeFill="accent6" w:themeFillTint="33"/>
          </w:tcPr>
          <w:p w14:paraId="20FF0B66" w14:textId="28BFEBE6" w:rsidR="00EB36D4" w:rsidRDefault="00EB36D4" w:rsidP="001A360F">
            <w:pPr>
              <w:spacing w:line="259" w:lineRule="auto"/>
            </w:pPr>
            <w:r>
              <w:t xml:space="preserve">Collect and share data and research on homelessness </w:t>
            </w:r>
          </w:p>
        </w:tc>
        <w:tc>
          <w:tcPr>
            <w:tcW w:w="913" w:type="pct"/>
            <w:tcBorders>
              <w:top w:val="single" w:sz="4" w:space="0" w:color="auto"/>
              <w:left w:val="single" w:sz="4" w:space="0" w:color="auto"/>
              <w:bottom w:val="single" w:sz="4" w:space="0" w:color="auto"/>
              <w:right w:val="single" w:sz="4" w:space="0" w:color="auto"/>
            </w:tcBorders>
            <w:shd w:val="clear" w:color="auto" w:fill="F2F1EF" w:themeFill="accent6" w:themeFillTint="33"/>
          </w:tcPr>
          <w:p w14:paraId="260E0FDE" w14:textId="164A7C4D" w:rsidR="00EB36D4" w:rsidRDefault="00966652" w:rsidP="00EB0AA6">
            <w:pPr>
              <w:spacing w:line="259" w:lineRule="auto"/>
            </w:pPr>
            <w:r>
              <w:t>Affordable Housing</w:t>
            </w:r>
          </w:p>
          <w:p w14:paraId="73650E69" w14:textId="6A6D8879" w:rsidR="00EB36D4" w:rsidRDefault="00EB36D4" w:rsidP="00EB0AA6">
            <w:pPr>
              <w:spacing w:line="259" w:lineRule="auto"/>
            </w:pPr>
            <w:r>
              <w:t>Community Wellbeing</w:t>
            </w:r>
          </w:p>
        </w:tc>
        <w:tc>
          <w:tcPr>
            <w:tcW w:w="192" w:type="pct"/>
            <w:tcBorders>
              <w:top w:val="single" w:sz="4" w:space="0" w:color="auto"/>
              <w:left w:val="single" w:sz="4" w:space="0" w:color="auto"/>
              <w:bottom w:val="single" w:sz="4" w:space="0" w:color="auto"/>
              <w:right w:val="single" w:sz="4" w:space="0" w:color="auto"/>
            </w:tcBorders>
            <w:shd w:val="clear" w:color="auto" w:fill="FFFFFF" w:themeFill="background1"/>
          </w:tcPr>
          <w:p w14:paraId="06E6C17E" w14:textId="0EB31C95" w:rsidR="00EB36D4" w:rsidRPr="00C2785B" w:rsidRDefault="00EB36D4" w:rsidP="001A360F">
            <w:pPr>
              <w:spacing w:line="259" w:lineRule="auto"/>
            </w:pPr>
            <w:r>
              <w:t>X</w:t>
            </w: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14:paraId="5D99AF40" w14:textId="07197AA7" w:rsidR="00EB36D4" w:rsidRDefault="00EB36D4" w:rsidP="001A360F">
            <w:pPr>
              <w:spacing w:line="259" w:lineRule="auto"/>
            </w:pPr>
            <w:r>
              <w:t>X</w:t>
            </w:r>
          </w:p>
        </w:tc>
        <w:tc>
          <w:tcPr>
            <w:tcW w:w="192" w:type="pct"/>
            <w:tcBorders>
              <w:top w:val="single" w:sz="4" w:space="0" w:color="auto"/>
              <w:left w:val="single" w:sz="4" w:space="0" w:color="auto"/>
              <w:bottom w:val="single" w:sz="4" w:space="0" w:color="auto"/>
              <w:right w:val="single" w:sz="4" w:space="0" w:color="auto"/>
            </w:tcBorders>
            <w:shd w:val="clear" w:color="auto" w:fill="FFFFFF" w:themeFill="background1"/>
          </w:tcPr>
          <w:p w14:paraId="6BE51818" w14:textId="77831355" w:rsidR="00EB36D4" w:rsidRDefault="00EB36D4" w:rsidP="001A360F">
            <w:pPr>
              <w:spacing w:line="259" w:lineRule="auto"/>
            </w:pPr>
            <w:r>
              <w:t>X</w:t>
            </w: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14:paraId="4EDA357F" w14:textId="7A89ACB2" w:rsidR="00EB36D4" w:rsidRDefault="00EB36D4" w:rsidP="001A360F">
            <w:pPr>
              <w:spacing w:line="259" w:lineRule="auto"/>
            </w:pPr>
            <w:r>
              <w:t>X</w:t>
            </w:r>
          </w:p>
        </w:tc>
        <w:tc>
          <w:tcPr>
            <w:tcW w:w="625" w:type="pct"/>
            <w:tcBorders>
              <w:top w:val="single" w:sz="4" w:space="0" w:color="auto"/>
              <w:left w:val="single" w:sz="4" w:space="0" w:color="auto"/>
              <w:bottom w:val="single" w:sz="4" w:space="0" w:color="auto"/>
              <w:right w:val="single" w:sz="4" w:space="0" w:color="auto"/>
            </w:tcBorders>
            <w:shd w:val="clear" w:color="auto" w:fill="F2F1EF" w:themeFill="accent6" w:themeFillTint="33"/>
          </w:tcPr>
          <w:p w14:paraId="24432ED1" w14:textId="543492FB" w:rsidR="00EB36D4" w:rsidRPr="00EB0AA6" w:rsidRDefault="00EB36D4" w:rsidP="001A360F">
            <w:pPr>
              <w:spacing w:line="259" w:lineRule="auto"/>
            </w:pPr>
            <w:r w:rsidRPr="00EB36D4">
              <w:t>Existing staff and unit budget</w:t>
            </w:r>
          </w:p>
        </w:tc>
      </w:tr>
      <w:tr w:rsidR="0052450D" w:rsidRPr="00C2785B" w14:paraId="6A37D410" w14:textId="77777777" w:rsidTr="0052450D">
        <w:trPr>
          <w:trHeight w:val="705"/>
        </w:trPr>
        <w:tc>
          <w:tcPr>
            <w:tcW w:w="735" w:type="pct"/>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4E29723" w14:textId="70437DC7" w:rsidR="0052450D" w:rsidRPr="0052450D" w:rsidRDefault="0052450D" w:rsidP="001A360F">
            <w:pPr>
              <w:spacing w:line="259" w:lineRule="auto"/>
              <w:rPr>
                <w:b/>
                <w:bCs/>
                <w:color w:val="FFFFFF" w:themeColor="background1"/>
              </w:rPr>
            </w:pPr>
            <w:r w:rsidRPr="0052450D">
              <w:rPr>
                <w:b/>
                <w:bCs/>
                <w:color w:val="FFFFFF" w:themeColor="background1"/>
              </w:rPr>
              <w:lastRenderedPageBreak/>
              <w:t>Action</w:t>
            </w:r>
          </w:p>
        </w:tc>
        <w:tc>
          <w:tcPr>
            <w:tcW w:w="1957" w:type="pct"/>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CD0B15" w14:textId="4A9CE6D7" w:rsidR="0052450D" w:rsidRPr="0052450D" w:rsidRDefault="0052450D" w:rsidP="001A360F">
            <w:pPr>
              <w:spacing w:line="259" w:lineRule="auto"/>
              <w:rPr>
                <w:color w:val="FFFFFF" w:themeColor="background1"/>
              </w:rPr>
            </w:pPr>
            <w:r w:rsidRPr="0052450D">
              <w:rPr>
                <w:color w:val="FFFFFF" w:themeColor="background1"/>
              </w:rPr>
              <w:t>Activities</w:t>
            </w:r>
          </w:p>
        </w:tc>
        <w:tc>
          <w:tcPr>
            <w:tcW w:w="913" w:type="pct"/>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C2EF7B9" w14:textId="30BE70F5" w:rsidR="0052450D" w:rsidRPr="0052450D" w:rsidRDefault="0052450D" w:rsidP="001A360F">
            <w:pPr>
              <w:spacing w:line="259" w:lineRule="auto"/>
              <w:rPr>
                <w:color w:val="FFFFFF" w:themeColor="background1"/>
              </w:rPr>
            </w:pPr>
            <w:r w:rsidRPr="0052450D">
              <w:rPr>
                <w:b/>
                <w:bCs/>
                <w:color w:val="FFFFFF" w:themeColor="background1"/>
              </w:rPr>
              <w:t>Lead Unit / Supporting Unit(s)</w:t>
            </w:r>
          </w:p>
        </w:tc>
        <w:tc>
          <w:tcPr>
            <w:tcW w:w="192" w:type="pct"/>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0E25EE8" w14:textId="7D65B6EC" w:rsidR="0052450D" w:rsidRPr="0052450D" w:rsidRDefault="0052450D" w:rsidP="001A360F">
            <w:pPr>
              <w:spacing w:line="259" w:lineRule="auto"/>
              <w:rPr>
                <w:color w:val="FFFFFF" w:themeColor="background1"/>
              </w:rPr>
            </w:pPr>
            <w:r w:rsidRPr="0052450D">
              <w:rPr>
                <w:color w:val="FFFFFF" w:themeColor="background1"/>
              </w:rPr>
              <w:t>Y1</w:t>
            </w:r>
          </w:p>
        </w:tc>
        <w:tc>
          <w:tcPr>
            <w:tcW w:w="193" w:type="pct"/>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75FB6EF" w14:textId="58547598" w:rsidR="0052450D" w:rsidRPr="0052450D" w:rsidRDefault="0052450D" w:rsidP="001A360F">
            <w:pPr>
              <w:spacing w:line="259" w:lineRule="auto"/>
              <w:rPr>
                <w:color w:val="FFFFFF" w:themeColor="background1"/>
              </w:rPr>
            </w:pPr>
            <w:r w:rsidRPr="0052450D">
              <w:rPr>
                <w:color w:val="FFFFFF" w:themeColor="background1"/>
              </w:rPr>
              <w:t>Y2</w:t>
            </w:r>
          </w:p>
        </w:tc>
        <w:tc>
          <w:tcPr>
            <w:tcW w:w="192" w:type="pct"/>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DF9C1B3" w14:textId="4171E14B" w:rsidR="0052450D" w:rsidRPr="0052450D" w:rsidRDefault="0052450D" w:rsidP="001A360F">
            <w:pPr>
              <w:spacing w:line="259" w:lineRule="auto"/>
              <w:rPr>
                <w:color w:val="FFFFFF" w:themeColor="background1"/>
              </w:rPr>
            </w:pPr>
            <w:r w:rsidRPr="0052450D">
              <w:rPr>
                <w:color w:val="FFFFFF" w:themeColor="background1"/>
              </w:rPr>
              <w:t>Y3</w:t>
            </w:r>
          </w:p>
        </w:tc>
        <w:tc>
          <w:tcPr>
            <w:tcW w:w="193" w:type="pct"/>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1889F75" w14:textId="757C5DC7" w:rsidR="0052450D" w:rsidRPr="0052450D" w:rsidRDefault="0052450D" w:rsidP="001A360F">
            <w:pPr>
              <w:spacing w:line="259" w:lineRule="auto"/>
              <w:rPr>
                <w:color w:val="FFFFFF" w:themeColor="background1"/>
              </w:rPr>
            </w:pPr>
            <w:r w:rsidRPr="0052450D">
              <w:rPr>
                <w:color w:val="FFFFFF" w:themeColor="background1"/>
              </w:rPr>
              <w:t>Y4</w:t>
            </w:r>
          </w:p>
        </w:tc>
        <w:tc>
          <w:tcPr>
            <w:tcW w:w="625" w:type="pct"/>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2FACB36" w14:textId="77777777" w:rsidR="0052450D" w:rsidRPr="0052450D" w:rsidRDefault="0052450D" w:rsidP="0052450D">
            <w:pPr>
              <w:spacing w:after="160" w:line="259" w:lineRule="auto"/>
              <w:rPr>
                <w:b/>
                <w:bCs/>
                <w:color w:val="FFFFFF" w:themeColor="background1"/>
              </w:rPr>
            </w:pPr>
            <w:r w:rsidRPr="0052450D">
              <w:rPr>
                <w:b/>
                <w:bCs/>
                <w:color w:val="FFFFFF" w:themeColor="background1"/>
              </w:rPr>
              <w:t>Resources</w:t>
            </w:r>
          </w:p>
          <w:p w14:paraId="315A2485" w14:textId="77777777" w:rsidR="0052450D" w:rsidRPr="0052450D" w:rsidRDefault="0052450D" w:rsidP="001A360F">
            <w:pPr>
              <w:spacing w:line="259" w:lineRule="auto"/>
              <w:rPr>
                <w:color w:val="FFFFFF" w:themeColor="background1"/>
              </w:rPr>
            </w:pPr>
          </w:p>
        </w:tc>
      </w:tr>
      <w:bookmarkEnd w:id="12"/>
      <w:tr w:rsidR="00F415D4" w:rsidRPr="00C2785B" w14:paraId="71C7EEE4" w14:textId="77777777" w:rsidTr="00F415D4">
        <w:trPr>
          <w:trHeight w:val="96"/>
        </w:trPr>
        <w:tc>
          <w:tcPr>
            <w:tcW w:w="735" w:type="pct"/>
            <w:tcBorders>
              <w:top w:val="single" w:sz="4" w:space="0" w:color="auto"/>
              <w:left w:val="single" w:sz="4" w:space="0" w:color="auto"/>
              <w:bottom w:val="single" w:sz="4" w:space="0" w:color="auto"/>
              <w:right w:val="single" w:sz="4" w:space="0" w:color="auto"/>
            </w:tcBorders>
            <w:shd w:val="clear" w:color="auto" w:fill="F2F1EF" w:themeFill="accent6" w:themeFillTint="33"/>
          </w:tcPr>
          <w:p w14:paraId="27A78D44" w14:textId="72D80596" w:rsidR="00DD2542" w:rsidRPr="00FA5C60" w:rsidRDefault="00DD2542" w:rsidP="001A360F">
            <w:pPr>
              <w:spacing w:after="160" w:line="259" w:lineRule="auto"/>
              <w:rPr>
                <w:b/>
                <w:bCs/>
              </w:rPr>
            </w:pPr>
            <w:r w:rsidRPr="00FA5C60">
              <w:rPr>
                <w:b/>
                <w:bCs/>
              </w:rPr>
              <w:t>3.</w:t>
            </w:r>
            <w:r>
              <w:rPr>
                <w:b/>
                <w:bCs/>
              </w:rPr>
              <w:t>2</w:t>
            </w:r>
            <w:r w:rsidRPr="00FA5C60">
              <w:rPr>
                <w:b/>
                <w:bCs/>
              </w:rPr>
              <w:t xml:space="preserve"> Consult the Affordable Housing Reference Group as key community voice on </w:t>
            </w:r>
            <w:r>
              <w:rPr>
                <w:b/>
                <w:bCs/>
              </w:rPr>
              <w:t xml:space="preserve">affordable housing matters </w:t>
            </w:r>
          </w:p>
        </w:tc>
        <w:tc>
          <w:tcPr>
            <w:tcW w:w="1957" w:type="pct"/>
            <w:tcBorders>
              <w:top w:val="single" w:sz="4" w:space="0" w:color="auto"/>
              <w:left w:val="single" w:sz="4" w:space="0" w:color="auto"/>
              <w:bottom w:val="single" w:sz="4" w:space="0" w:color="auto"/>
              <w:right w:val="single" w:sz="4" w:space="0" w:color="auto"/>
            </w:tcBorders>
            <w:shd w:val="clear" w:color="auto" w:fill="F2F1EF" w:themeFill="accent6" w:themeFillTint="33"/>
          </w:tcPr>
          <w:p w14:paraId="61E32F16" w14:textId="77777777" w:rsidR="00DD2542" w:rsidRPr="00C2785B" w:rsidRDefault="00DD2542" w:rsidP="001A360F">
            <w:pPr>
              <w:spacing w:after="160" w:line="259" w:lineRule="auto"/>
            </w:pPr>
            <w:r w:rsidRPr="00C2785B">
              <w:t>Facilitate the meeting of the Affordable Housing Reference Group at least 4 x times per year and promote active participation</w:t>
            </w:r>
          </w:p>
        </w:tc>
        <w:tc>
          <w:tcPr>
            <w:tcW w:w="913" w:type="pct"/>
            <w:tcBorders>
              <w:top w:val="single" w:sz="4" w:space="0" w:color="auto"/>
              <w:left w:val="single" w:sz="4" w:space="0" w:color="auto"/>
              <w:bottom w:val="single" w:sz="4" w:space="0" w:color="auto"/>
              <w:right w:val="single" w:sz="4" w:space="0" w:color="auto"/>
            </w:tcBorders>
            <w:shd w:val="clear" w:color="auto" w:fill="F2F1EF" w:themeFill="accent6" w:themeFillTint="33"/>
          </w:tcPr>
          <w:p w14:paraId="63924079" w14:textId="0CAE61B7" w:rsidR="00DD2542" w:rsidRPr="00C2785B" w:rsidRDefault="00966652" w:rsidP="001A360F">
            <w:pPr>
              <w:spacing w:after="160" w:line="259" w:lineRule="auto"/>
            </w:pPr>
            <w:r>
              <w:t>Affordable Housing</w:t>
            </w:r>
          </w:p>
        </w:tc>
        <w:tc>
          <w:tcPr>
            <w:tcW w:w="192" w:type="pct"/>
            <w:tcBorders>
              <w:top w:val="single" w:sz="4" w:space="0" w:color="auto"/>
              <w:left w:val="single" w:sz="4" w:space="0" w:color="auto"/>
              <w:bottom w:val="single" w:sz="4" w:space="0" w:color="auto"/>
              <w:right w:val="single" w:sz="4" w:space="0" w:color="auto"/>
            </w:tcBorders>
            <w:shd w:val="clear" w:color="auto" w:fill="FFFFFF" w:themeFill="background1"/>
          </w:tcPr>
          <w:p w14:paraId="7CC047DB" w14:textId="49FD49B2" w:rsidR="00DD2542" w:rsidRPr="00C2785B" w:rsidRDefault="00E159E5" w:rsidP="001A360F">
            <w:pPr>
              <w:spacing w:after="160" w:line="259" w:lineRule="auto"/>
            </w:pPr>
            <w:r>
              <w:t>X</w:t>
            </w: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14:paraId="77919DF5" w14:textId="15011027" w:rsidR="00DD2542" w:rsidRPr="00C2785B" w:rsidRDefault="00E159E5" w:rsidP="001A360F">
            <w:pPr>
              <w:spacing w:after="160" w:line="259" w:lineRule="auto"/>
            </w:pPr>
            <w:r>
              <w:t>X</w:t>
            </w:r>
          </w:p>
        </w:tc>
        <w:tc>
          <w:tcPr>
            <w:tcW w:w="192" w:type="pct"/>
            <w:tcBorders>
              <w:top w:val="single" w:sz="4" w:space="0" w:color="auto"/>
              <w:left w:val="single" w:sz="4" w:space="0" w:color="auto"/>
              <w:bottom w:val="single" w:sz="4" w:space="0" w:color="auto"/>
              <w:right w:val="single" w:sz="4" w:space="0" w:color="auto"/>
            </w:tcBorders>
            <w:shd w:val="clear" w:color="auto" w:fill="FFFFFF" w:themeFill="background1"/>
          </w:tcPr>
          <w:p w14:paraId="2865B485" w14:textId="64D55D84" w:rsidR="00DD2542" w:rsidRPr="00C2785B" w:rsidRDefault="00E159E5" w:rsidP="001A360F">
            <w:pPr>
              <w:spacing w:after="160" w:line="259" w:lineRule="auto"/>
            </w:pPr>
            <w:r>
              <w:t>X</w:t>
            </w: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14:paraId="60CB172D" w14:textId="68717761" w:rsidR="00DD2542" w:rsidRPr="00C2785B" w:rsidRDefault="00E159E5" w:rsidP="001A360F">
            <w:pPr>
              <w:spacing w:after="160" w:line="259" w:lineRule="auto"/>
            </w:pPr>
            <w:r>
              <w:t>X</w:t>
            </w:r>
          </w:p>
        </w:tc>
        <w:tc>
          <w:tcPr>
            <w:tcW w:w="625" w:type="pct"/>
            <w:tcBorders>
              <w:top w:val="single" w:sz="4" w:space="0" w:color="auto"/>
              <w:left w:val="single" w:sz="4" w:space="0" w:color="auto"/>
              <w:bottom w:val="single" w:sz="4" w:space="0" w:color="auto"/>
              <w:right w:val="single" w:sz="4" w:space="0" w:color="auto"/>
            </w:tcBorders>
            <w:shd w:val="clear" w:color="auto" w:fill="F2F1EF" w:themeFill="accent6" w:themeFillTint="33"/>
          </w:tcPr>
          <w:p w14:paraId="6A44F069" w14:textId="54541676" w:rsidR="00DD2542" w:rsidRPr="00C2785B" w:rsidRDefault="00EB36D4" w:rsidP="001A360F">
            <w:pPr>
              <w:spacing w:after="160" w:line="259" w:lineRule="auto"/>
            </w:pPr>
            <w:r w:rsidRPr="00EB36D4">
              <w:t>Existing staff and unit budget</w:t>
            </w:r>
          </w:p>
        </w:tc>
      </w:tr>
      <w:tr w:rsidR="00F415D4" w:rsidRPr="000E68D2" w14:paraId="11036DE1" w14:textId="77777777" w:rsidTr="00F415D4">
        <w:trPr>
          <w:trHeight w:val="1224"/>
        </w:trPr>
        <w:tc>
          <w:tcPr>
            <w:tcW w:w="735" w:type="pct"/>
            <w:vMerge w:val="restart"/>
            <w:tcBorders>
              <w:left w:val="single" w:sz="4" w:space="0" w:color="auto"/>
              <w:right w:val="single" w:sz="4" w:space="0" w:color="auto"/>
            </w:tcBorders>
            <w:shd w:val="clear" w:color="auto" w:fill="F2F1EF" w:themeFill="accent6" w:themeFillTint="33"/>
          </w:tcPr>
          <w:p w14:paraId="0BFF61FA" w14:textId="77777777" w:rsidR="00AC1535" w:rsidRPr="00FA5C60" w:rsidRDefault="00AC1535" w:rsidP="001A360F">
            <w:pPr>
              <w:spacing w:after="160" w:line="259" w:lineRule="auto"/>
              <w:rPr>
                <w:b/>
                <w:bCs/>
              </w:rPr>
            </w:pPr>
            <w:r w:rsidRPr="00FA5C60">
              <w:rPr>
                <w:b/>
                <w:bCs/>
              </w:rPr>
              <w:t>3.</w:t>
            </w:r>
            <w:r>
              <w:rPr>
                <w:b/>
                <w:bCs/>
              </w:rPr>
              <w:t>3</w:t>
            </w:r>
            <w:r w:rsidRPr="00FA5C60">
              <w:rPr>
                <w:b/>
                <w:bCs/>
              </w:rPr>
              <w:t xml:space="preserve"> Work with M9 Group of Councils, Inter-Council Affordable Housing Forum (ICAHF)</w:t>
            </w:r>
            <w:r>
              <w:rPr>
                <w:b/>
                <w:bCs/>
              </w:rPr>
              <w:t xml:space="preserve">, </w:t>
            </w:r>
            <w:r w:rsidRPr="00FA5C60">
              <w:rPr>
                <w:b/>
                <w:bCs/>
              </w:rPr>
              <w:t>M</w:t>
            </w:r>
            <w:r>
              <w:rPr>
                <w:b/>
                <w:bCs/>
              </w:rPr>
              <w:t xml:space="preserve">unicipal </w:t>
            </w:r>
            <w:r w:rsidRPr="00FA5C60">
              <w:rPr>
                <w:b/>
                <w:bCs/>
              </w:rPr>
              <w:t>A</w:t>
            </w:r>
            <w:r>
              <w:rPr>
                <w:b/>
                <w:bCs/>
              </w:rPr>
              <w:t xml:space="preserve">ssociation </w:t>
            </w:r>
            <w:r w:rsidRPr="00FA5C60">
              <w:rPr>
                <w:b/>
                <w:bCs/>
              </w:rPr>
              <w:t>V</w:t>
            </w:r>
            <w:r>
              <w:rPr>
                <w:b/>
                <w:bCs/>
              </w:rPr>
              <w:t>ictoria (MAV)</w:t>
            </w:r>
            <w:r w:rsidRPr="00FA5C60">
              <w:rPr>
                <w:b/>
                <w:bCs/>
              </w:rPr>
              <w:t xml:space="preserve"> </w:t>
            </w:r>
            <w:r>
              <w:rPr>
                <w:b/>
                <w:bCs/>
              </w:rPr>
              <w:t>on</w:t>
            </w:r>
            <w:r w:rsidRPr="00FA5C60">
              <w:rPr>
                <w:b/>
                <w:bCs/>
              </w:rPr>
              <w:t xml:space="preserve"> relevant campaigns</w:t>
            </w:r>
            <w:r>
              <w:rPr>
                <w:b/>
                <w:bCs/>
              </w:rPr>
              <w:t xml:space="preserve"> and advocacy </w:t>
            </w:r>
          </w:p>
          <w:p w14:paraId="09E1CF2E" w14:textId="77777777" w:rsidR="00E96D1A" w:rsidRPr="00FA5C60" w:rsidRDefault="00E96D1A" w:rsidP="001A360F">
            <w:pPr>
              <w:rPr>
                <w:b/>
                <w:bCs/>
              </w:rPr>
            </w:pPr>
          </w:p>
        </w:tc>
        <w:tc>
          <w:tcPr>
            <w:tcW w:w="1957" w:type="pct"/>
            <w:tcBorders>
              <w:top w:val="single" w:sz="4" w:space="0" w:color="auto"/>
              <w:left w:val="single" w:sz="4" w:space="0" w:color="auto"/>
              <w:bottom w:val="single" w:sz="4" w:space="0" w:color="auto"/>
              <w:right w:val="single" w:sz="4" w:space="0" w:color="auto"/>
            </w:tcBorders>
            <w:shd w:val="clear" w:color="auto" w:fill="F2F1EF" w:themeFill="accent6" w:themeFillTint="33"/>
          </w:tcPr>
          <w:p w14:paraId="73831AA7" w14:textId="4E71A672" w:rsidR="00E96D1A" w:rsidRDefault="00770392" w:rsidP="001A360F">
            <w:r>
              <w:t xml:space="preserve">Lead Affordable Housing Advocacy with the M9 Group of Councils to advocate to the State Government the following priorities: </w:t>
            </w:r>
          </w:p>
          <w:p w14:paraId="07F93CF9" w14:textId="5037ADA0" w:rsidR="00770392" w:rsidRPr="00770392" w:rsidRDefault="00770392" w:rsidP="001A360F">
            <w:pPr>
              <w:pStyle w:val="ListParagraph"/>
              <w:numPr>
                <w:ilvl w:val="0"/>
                <w:numId w:val="29"/>
              </w:numPr>
            </w:pPr>
            <w:r w:rsidRPr="00770392">
              <w:t>Introduce mandatory affordable housing controls in the Victorian Planning System to deliver social and affordable housing with certainty and at scale.</w:t>
            </w:r>
          </w:p>
          <w:p w14:paraId="73414035" w14:textId="77777777" w:rsidR="00770392" w:rsidRPr="00770392" w:rsidRDefault="00770392" w:rsidP="001A360F">
            <w:pPr>
              <w:pStyle w:val="ListParagraph"/>
              <w:numPr>
                <w:ilvl w:val="0"/>
                <w:numId w:val="29"/>
              </w:numPr>
              <w:suppressAutoHyphens w:val="0"/>
              <w:autoSpaceDE w:val="0"/>
              <w:adjustRightInd w:val="0"/>
            </w:pPr>
            <w:r w:rsidRPr="00770392">
              <w:t>Establish sustained and diverse funding streams to enable long-term social and affordable housing delivery.</w:t>
            </w:r>
          </w:p>
          <w:p w14:paraId="030CC29F" w14:textId="38A9A88A" w:rsidR="00770392" w:rsidRPr="00770392" w:rsidRDefault="00770392" w:rsidP="001A360F">
            <w:pPr>
              <w:pStyle w:val="ListParagraph"/>
              <w:numPr>
                <w:ilvl w:val="0"/>
                <w:numId w:val="29"/>
              </w:numPr>
            </w:pPr>
            <w:r w:rsidRPr="00770392">
              <w:t>Deliver new supported social housing and resourcing for assertive outreach to address the homelessness and rough sleeping need across the M9 region.</w:t>
            </w:r>
          </w:p>
          <w:p w14:paraId="36D5BB14" w14:textId="45EEC186" w:rsidR="00770392" w:rsidRPr="00991653" w:rsidRDefault="00770392" w:rsidP="001A360F"/>
        </w:tc>
        <w:tc>
          <w:tcPr>
            <w:tcW w:w="913" w:type="pct"/>
            <w:tcBorders>
              <w:top w:val="single" w:sz="4" w:space="0" w:color="auto"/>
              <w:left w:val="single" w:sz="4" w:space="0" w:color="auto"/>
              <w:bottom w:val="single" w:sz="4" w:space="0" w:color="auto"/>
              <w:right w:val="single" w:sz="4" w:space="0" w:color="auto"/>
            </w:tcBorders>
            <w:shd w:val="clear" w:color="auto" w:fill="F2F1EF" w:themeFill="accent6" w:themeFillTint="33"/>
          </w:tcPr>
          <w:p w14:paraId="4076BDEA" w14:textId="7CF78AEB" w:rsidR="00E96D1A" w:rsidRPr="0005589F" w:rsidRDefault="00966652" w:rsidP="001A360F">
            <w:r>
              <w:t>Affordable Housing</w:t>
            </w:r>
            <w:r w:rsidR="00AC1535">
              <w:t xml:space="preserve"> </w:t>
            </w:r>
          </w:p>
        </w:tc>
        <w:tc>
          <w:tcPr>
            <w:tcW w:w="192" w:type="pct"/>
            <w:tcBorders>
              <w:top w:val="single" w:sz="4" w:space="0" w:color="auto"/>
              <w:left w:val="single" w:sz="4" w:space="0" w:color="auto"/>
              <w:bottom w:val="single" w:sz="4" w:space="0" w:color="auto"/>
              <w:right w:val="single" w:sz="4" w:space="0" w:color="auto"/>
            </w:tcBorders>
            <w:shd w:val="clear" w:color="auto" w:fill="FFFFFF" w:themeFill="background1"/>
          </w:tcPr>
          <w:p w14:paraId="26609712" w14:textId="0D80E549" w:rsidR="00E96D1A" w:rsidRPr="00344E55" w:rsidRDefault="00741191" w:rsidP="001A360F">
            <w:r>
              <w:t>X</w:t>
            </w: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14:paraId="629057F1" w14:textId="6670B948" w:rsidR="00E96D1A" w:rsidRPr="000A4FE3" w:rsidRDefault="00741191" w:rsidP="001A360F">
            <w:r>
              <w:t>X</w:t>
            </w:r>
          </w:p>
        </w:tc>
        <w:tc>
          <w:tcPr>
            <w:tcW w:w="192" w:type="pct"/>
            <w:tcBorders>
              <w:top w:val="single" w:sz="4" w:space="0" w:color="auto"/>
              <w:left w:val="single" w:sz="4" w:space="0" w:color="auto"/>
              <w:bottom w:val="single" w:sz="4" w:space="0" w:color="auto"/>
              <w:right w:val="single" w:sz="4" w:space="0" w:color="auto"/>
            </w:tcBorders>
            <w:shd w:val="clear" w:color="auto" w:fill="FFFFFF" w:themeFill="background1"/>
          </w:tcPr>
          <w:p w14:paraId="568AA08D" w14:textId="638452FE" w:rsidR="00E96D1A" w:rsidRPr="000E68D2" w:rsidRDefault="00741191" w:rsidP="001A360F">
            <w:r>
              <w:t>X</w:t>
            </w: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14:paraId="1F3E1F8F" w14:textId="115E237E" w:rsidR="00E96D1A" w:rsidRPr="000E68D2" w:rsidRDefault="00741191" w:rsidP="001A360F">
            <w:r>
              <w:t>X</w:t>
            </w:r>
          </w:p>
        </w:tc>
        <w:tc>
          <w:tcPr>
            <w:tcW w:w="625" w:type="pct"/>
            <w:tcBorders>
              <w:top w:val="single" w:sz="4" w:space="0" w:color="auto"/>
              <w:left w:val="single" w:sz="4" w:space="0" w:color="auto"/>
              <w:bottom w:val="single" w:sz="4" w:space="0" w:color="auto"/>
              <w:right w:val="single" w:sz="4" w:space="0" w:color="auto"/>
            </w:tcBorders>
            <w:shd w:val="clear" w:color="auto" w:fill="F2F1EF" w:themeFill="accent6" w:themeFillTint="33"/>
          </w:tcPr>
          <w:p w14:paraId="2D4D7EBA" w14:textId="38EE9AB6" w:rsidR="00E96D1A" w:rsidRPr="000E68D2" w:rsidRDefault="00EB36D4" w:rsidP="001A360F">
            <w:r w:rsidRPr="00EB36D4">
              <w:t>Existing staff and unit budget</w:t>
            </w:r>
          </w:p>
        </w:tc>
      </w:tr>
      <w:tr w:rsidR="00F415D4" w:rsidRPr="000E68D2" w14:paraId="199187B6" w14:textId="77777777" w:rsidTr="00F415D4">
        <w:trPr>
          <w:trHeight w:val="1663"/>
        </w:trPr>
        <w:tc>
          <w:tcPr>
            <w:tcW w:w="735" w:type="pct"/>
            <w:vMerge/>
            <w:tcBorders>
              <w:left w:val="single" w:sz="4" w:space="0" w:color="auto"/>
              <w:right w:val="single" w:sz="4" w:space="0" w:color="auto"/>
            </w:tcBorders>
            <w:shd w:val="clear" w:color="auto" w:fill="F2F1EF" w:themeFill="accent6" w:themeFillTint="33"/>
          </w:tcPr>
          <w:p w14:paraId="13808065" w14:textId="77777777" w:rsidR="00E96D1A" w:rsidRPr="00FA5C60" w:rsidRDefault="00E96D1A" w:rsidP="001A360F">
            <w:pPr>
              <w:rPr>
                <w:b/>
                <w:bCs/>
              </w:rPr>
            </w:pPr>
          </w:p>
        </w:tc>
        <w:tc>
          <w:tcPr>
            <w:tcW w:w="1957" w:type="pct"/>
            <w:tcBorders>
              <w:top w:val="single" w:sz="4" w:space="0" w:color="auto"/>
              <w:left w:val="single" w:sz="4" w:space="0" w:color="auto"/>
              <w:bottom w:val="single" w:sz="4" w:space="0" w:color="auto"/>
              <w:right w:val="single" w:sz="4" w:space="0" w:color="auto"/>
            </w:tcBorders>
            <w:shd w:val="clear" w:color="auto" w:fill="F2F1EF" w:themeFill="accent6" w:themeFillTint="33"/>
          </w:tcPr>
          <w:p w14:paraId="68E05814" w14:textId="77777777" w:rsidR="00E96D1A" w:rsidRDefault="00E96D1A" w:rsidP="001A360F">
            <w:r w:rsidRPr="00C2785B">
              <w:t>Provide input into public submissions, attend industry forums and stakeholder events to build relationships and alliances that promote increased affordable housing provision</w:t>
            </w:r>
            <w:r w:rsidR="00AC1535">
              <w:t xml:space="preserve"> and: </w:t>
            </w:r>
          </w:p>
          <w:p w14:paraId="0F988C36" w14:textId="77777777" w:rsidR="00AC1535" w:rsidRDefault="00AC1535" w:rsidP="001A360F">
            <w:pPr>
              <w:pStyle w:val="ListParagraph"/>
              <w:numPr>
                <w:ilvl w:val="0"/>
                <w:numId w:val="19"/>
              </w:numPr>
              <w:spacing w:line="259" w:lineRule="auto"/>
            </w:pPr>
            <w:r>
              <w:t>E</w:t>
            </w:r>
            <w:r w:rsidRPr="007C3961">
              <w:t>xisting and renewed public housing</w:t>
            </w:r>
          </w:p>
          <w:p w14:paraId="099B982D" w14:textId="77777777" w:rsidR="00F92467" w:rsidRDefault="00AC1535" w:rsidP="001A360F">
            <w:pPr>
              <w:pStyle w:val="ListParagraph"/>
              <w:numPr>
                <w:ilvl w:val="0"/>
                <w:numId w:val="19"/>
              </w:numPr>
              <w:spacing w:line="259" w:lineRule="auto"/>
            </w:pPr>
            <w:r>
              <w:t>T</w:t>
            </w:r>
            <w:r w:rsidRPr="00237AD3">
              <w:t>he accelerated roll-out of thermal</w:t>
            </w:r>
            <w:r>
              <w:t xml:space="preserve"> comfort</w:t>
            </w:r>
            <w:r w:rsidRPr="00237AD3">
              <w:t xml:space="preserve"> </w:t>
            </w:r>
            <w:r>
              <w:t xml:space="preserve">/ energy efficiency </w:t>
            </w:r>
            <w:r w:rsidRPr="00237AD3">
              <w:t>upgrades for public and community housing</w:t>
            </w:r>
          </w:p>
          <w:p w14:paraId="43CA6FCB" w14:textId="1135C631" w:rsidR="00AC1535" w:rsidRPr="00F92467" w:rsidRDefault="00AC1535" w:rsidP="001A360F">
            <w:pPr>
              <w:pStyle w:val="ListParagraph"/>
              <w:numPr>
                <w:ilvl w:val="0"/>
                <w:numId w:val="19"/>
              </w:numPr>
              <w:spacing w:line="259" w:lineRule="auto"/>
            </w:pPr>
            <w:r w:rsidRPr="00F92467">
              <w:t>Introducing mandatory disclosure of energy performance at point of sale or lease for residential properties, and mandatory standards for</w:t>
            </w:r>
            <w:r w:rsidR="007545EF">
              <w:t xml:space="preserve"> heating and cooling.</w:t>
            </w:r>
          </w:p>
        </w:tc>
        <w:tc>
          <w:tcPr>
            <w:tcW w:w="913" w:type="pct"/>
            <w:tcBorders>
              <w:top w:val="single" w:sz="4" w:space="0" w:color="auto"/>
              <w:left w:val="single" w:sz="4" w:space="0" w:color="auto"/>
              <w:bottom w:val="single" w:sz="4" w:space="0" w:color="auto"/>
              <w:right w:val="single" w:sz="4" w:space="0" w:color="auto"/>
            </w:tcBorders>
            <w:shd w:val="clear" w:color="auto" w:fill="F2F1EF" w:themeFill="accent6" w:themeFillTint="33"/>
          </w:tcPr>
          <w:p w14:paraId="482F9510" w14:textId="75FA9195" w:rsidR="00E96D1A" w:rsidRDefault="00966652" w:rsidP="001A360F">
            <w:r>
              <w:t>Affordable Housing</w:t>
            </w:r>
            <w:r w:rsidR="00E96D1A" w:rsidRPr="00C2785B">
              <w:t xml:space="preserve"> </w:t>
            </w:r>
          </w:p>
        </w:tc>
        <w:tc>
          <w:tcPr>
            <w:tcW w:w="192" w:type="pct"/>
            <w:tcBorders>
              <w:top w:val="single" w:sz="4" w:space="0" w:color="auto"/>
              <w:left w:val="single" w:sz="4" w:space="0" w:color="auto"/>
              <w:bottom w:val="single" w:sz="4" w:space="0" w:color="auto"/>
              <w:right w:val="single" w:sz="4" w:space="0" w:color="auto"/>
            </w:tcBorders>
            <w:shd w:val="clear" w:color="auto" w:fill="FFFFFF" w:themeFill="background1"/>
          </w:tcPr>
          <w:p w14:paraId="64766A3E" w14:textId="5D659B8E" w:rsidR="00E96D1A" w:rsidRPr="00344E55" w:rsidRDefault="00E96D1A" w:rsidP="001A360F">
            <w:r>
              <w:t>X</w:t>
            </w: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14:paraId="2DD6A7CA" w14:textId="1E0D8256" w:rsidR="00E96D1A" w:rsidRPr="000A4FE3" w:rsidRDefault="00E96D1A" w:rsidP="001A360F">
            <w:r>
              <w:t>X</w:t>
            </w:r>
          </w:p>
        </w:tc>
        <w:tc>
          <w:tcPr>
            <w:tcW w:w="192" w:type="pct"/>
            <w:tcBorders>
              <w:top w:val="single" w:sz="4" w:space="0" w:color="auto"/>
              <w:left w:val="single" w:sz="4" w:space="0" w:color="auto"/>
              <w:bottom w:val="single" w:sz="4" w:space="0" w:color="auto"/>
              <w:right w:val="single" w:sz="4" w:space="0" w:color="auto"/>
            </w:tcBorders>
            <w:shd w:val="clear" w:color="auto" w:fill="FFFFFF" w:themeFill="background1"/>
          </w:tcPr>
          <w:p w14:paraId="1EEFAD01" w14:textId="074DEF5E" w:rsidR="00E96D1A" w:rsidRPr="000E68D2" w:rsidRDefault="00E96D1A" w:rsidP="001A360F">
            <w:r>
              <w:t>X</w:t>
            </w: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14:paraId="6BCCB0D0" w14:textId="53E49F9F" w:rsidR="00E96D1A" w:rsidRPr="000E68D2" w:rsidRDefault="00E96D1A" w:rsidP="001A360F">
            <w:r>
              <w:t>X</w:t>
            </w:r>
          </w:p>
        </w:tc>
        <w:tc>
          <w:tcPr>
            <w:tcW w:w="625" w:type="pct"/>
            <w:tcBorders>
              <w:top w:val="single" w:sz="4" w:space="0" w:color="auto"/>
              <w:left w:val="single" w:sz="4" w:space="0" w:color="auto"/>
              <w:bottom w:val="single" w:sz="4" w:space="0" w:color="auto"/>
              <w:right w:val="single" w:sz="4" w:space="0" w:color="auto"/>
            </w:tcBorders>
            <w:shd w:val="clear" w:color="auto" w:fill="F2F1EF" w:themeFill="accent6" w:themeFillTint="33"/>
          </w:tcPr>
          <w:p w14:paraId="26A81745" w14:textId="34B21CE6" w:rsidR="00E96D1A" w:rsidRPr="000E68D2" w:rsidRDefault="00EB36D4" w:rsidP="001A360F">
            <w:r w:rsidRPr="00EB36D4">
              <w:t>Existing staff and unit budget</w:t>
            </w:r>
          </w:p>
        </w:tc>
      </w:tr>
      <w:tr w:rsidR="0052450D" w:rsidRPr="000E68D2" w14:paraId="021CB596" w14:textId="77777777" w:rsidTr="0052450D">
        <w:trPr>
          <w:trHeight w:val="1297"/>
        </w:trPr>
        <w:tc>
          <w:tcPr>
            <w:tcW w:w="735" w:type="pct"/>
            <w:tcBorders>
              <w:left w:val="single" w:sz="4" w:space="0" w:color="auto"/>
              <w:right w:val="single" w:sz="4" w:space="0" w:color="auto"/>
            </w:tcBorders>
            <w:shd w:val="clear" w:color="auto" w:fill="F2F1EF" w:themeFill="accent6" w:themeFillTint="33"/>
          </w:tcPr>
          <w:p w14:paraId="0E1496C6" w14:textId="41DABC6E" w:rsidR="0052450D" w:rsidRPr="00FA5C60" w:rsidRDefault="0052450D" w:rsidP="001A360F">
            <w:pPr>
              <w:rPr>
                <w:b/>
                <w:bCs/>
              </w:rPr>
            </w:pPr>
            <w:r>
              <w:rPr>
                <w:b/>
                <w:bCs/>
              </w:rPr>
              <w:t xml:space="preserve">3.4  Promote </w:t>
            </w:r>
            <w:r w:rsidR="00F55747">
              <w:rPr>
                <w:b/>
                <w:bCs/>
              </w:rPr>
              <w:t xml:space="preserve"> initiatives by community and philanthropic organisations</w:t>
            </w:r>
          </w:p>
        </w:tc>
        <w:tc>
          <w:tcPr>
            <w:tcW w:w="1957" w:type="pct"/>
            <w:tcBorders>
              <w:top w:val="single" w:sz="4" w:space="0" w:color="auto"/>
              <w:left w:val="single" w:sz="4" w:space="0" w:color="auto"/>
              <w:bottom w:val="single" w:sz="4" w:space="0" w:color="auto"/>
              <w:right w:val="single" w:sz="4" w:space="0" w:color="auto"/>
            </w:tcBorders>
            <w:shd w:val="clear" w:color="auto" w:fill="F2F1EF" w:themeFill="accent6" w:themeFillTint="33"/>
          </w:tcPr>
          <w:p w14:paraId="46E8E952" w14:textId="6FD58BEE" w:rsidR="0052450D" w:rsidRPr="0052450D" w:rsidRDefault="00F55747" w:rsidP="0052450D">
            <w:r>
              <w:t>Use council’s communication channels and networks to inform relevant stakeholders and community members of initiatives that assist in creating new affordable housing or enhance</w:t>
            </w:r>
            <w:r w:rsidR="00324383">
              <w:t>s</w:t>
            </w:r>
            <w:r>
              <w:t xml:space="preserve"> housing affordability.</w:t>
            </w:r>
          </w:p>
        </w:tc>
        <w:tc>
          <w:tcPr>
            <w:tcW w:w="913" w:type="pct"/>
            <w:tcBorders>
              <w:top w:val="single" w:sz="4" w:space="0" w:color="auto"/>
              <w:left w:val="single" w:sz="4" w:space="0" w:color="auto"/>
              <w:bottom w:val="single" w:sz="4" w:space="0" w:color="auto"/>
              <w:right w:val="single" w:sz="4" w:space="0" w:color="auto"/>
            </w:tcBorders>
            <w:shd w:val="clear" w:color="auto" w:fill="F2F1EF" w:themeFill="accent6" w:themeFillTint="33"/>
          </w:tcPr>
          <w:p w14:paraId="17F9DE20" w14:textId="00E865CF" w:rsidR="0052450D" w:rsidRDefault="00966652" w:rsidP="001A360F">
            <w:r>
              <w:t>Affordable Housing</w:t>
            </w:r>
          </w:p>
          <w:p w14:paraId="704BBBE3" w14:textId="280AF5E4" w:rsidR="0052450D" w:rsidRPr="00C2785B" w:rsidRDefault="0052450D" w:rsidP="001A360F">
            <w:r>
              <w:t>Communications</w:t>
            </w:r>
          </w:p>
        </w:tc>
        <w:tc>
          <w:tcPr>
            <w:tcW w:w="192" w:type="pct"/>
            <w:tcBorders>
              <w:top w:val="single" w:sz="4" w:space="0" w:color="auto"/>
              <w:left w:val="single" w:sz="4" w:space="0" w:color="auto"/>
              <w:bottom w:val="single" w:sz="4" w:space="0" w:color="auto"/>
              <w:right w:val="single" w:sz="4" w:space="0" w:color="auto"/>
            </w:tcBorders>
            <w:shd w:val="clear" w:color="auto" w:fill="FFFFFF" w:themeFill="background1"/>
          </w:tcPr>
          <w:p w14:paraId="2473F026" w14:textId="110D74B6" w:rsidR="0052450D" w:rsidRDefault="0052450D" w:rsidP="001A360F">
            <w:r>
              <w:t>X</w:t>
            </w: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14:paraId="0ED09EE0" w14:textId="4C431221" w:rsidR="0052450D" w:rsidRDefault="0052450D" w:rsidP="001A360F">
            <w:r>
              <w:t>X</w:t>
            </w:r>
          </w:p>
        </w:tc>
        <w:tc>
          <w:tcPr>
            <w:tcW w:w="192" w:type="pct"/>
            <w:tcBorders>
              <w:top w:val="single" w:sz="4" w:space="0" w:color="auto"/>
              <w:left w:val="single" w:sz="4" w:space="0" w:color="auto"/>
              <w:bottom w:val="single" w:sz="4" w:space="0" w:color="auto"/>
              <w:right w:val="single" w:sz="4" w:space="0" w:color="auto"/>
            </w:tcBorders>
            <w:shd w:val="clear" w:color="auto" w:fill="FFFFFF" w:themeFill="background1"/>
          </w:tcPr>
          <w:p w14:paraId="746BAC46" w14:textId="441B640C" w:rsidR="0052450D" w:rsidRDefault="0052450D" w:rsidP="001A360F">
            <w:r>
              <w:t>X</w:t>
            </w: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tcPr>
          <w:p w14:paraId="61BCDC69" w14:textId="69D9E72A" w:rsidR="0052450D" w:rsidRDefault="0052450D" w:rsidP="001A360F">
            <w:r>
              <w:t>X</w:t>
            </w:r>
          </w:p>
        </w:tc>
        <w:tc>
          <w:tcPr>
            <w:tcW w:w="625" w:type="pct"/>
            <w:tcBorders>
              <w:top w:val="single" w:sz="4" w:space="0" w:color="auto"/>
              <w:left w:val="single" w:sz="4" w:space="0" w:color="auto"/>
              <w:bottom w:val="single" w:sz="4" w:space="0" w:color="auto"/>
              <w:right w:val="single" w:sz="4" w:space="0" w:color="auto"/>
            </w:tcBorders>
            <w:shd w:val="clear" w:color="auto" w:fill="F2F1EF" w:themeFill="accent6" w:themeFillTint="33"/>
          </w:tcPr>
          <w:p w14:paraId="2560800A" w14:textId="20E195B1" w:rsidR="0052450D" w:rsidRPr="00EB36D4" w:rsidRDefault="0052450D" w:rsidP="001A360F">
            <w:r w:rsidRPr="00EB36D4">
              <w:t>Existing staff and unit budget</w:t>
            </w:r>
          </w:p>
        </w:tc>
      </w:tr>
    </w:tbl>
    <w:p w14:paraId="72AE055C" w14:textId="3E36B69F" w:rsidR="0050026A" w:rsidRDefault="0050026A" w:rsidP="00393D82">
      <w:pPr>
        <w:pStyle w:val="Heading2"/>
      </w:pPr>
    </w:p>
    <w:p w14:paraId="5408D33E" w14:textId="77777777" w:rsidR="0050026A" w:rsidRDefault="0050026A">
      <w:pPr>
        <w:suppressAutoHyphens w:val="0"/>
        <w:rPr>
          <w:rFonts w:ascii="Galano Grotesque ExtraBold" w:eastAsia="Times New Roman" w:hAnsi="Galano Grotesque ExtraBold" w:cs="Arial"/>
          <w:b/>
          <w:bCs/>
          <w:iCs/>
          <w:color w:val="4472C4"/>
          <w:sz w:val="26"/>
          <w:szCs w:val="26"/>
          <w:lang w:eastAsia="en-AU"/>
        </w:rPr>
      </w:pPr>
      <w:r>
        <w:br w:type="page"/>
      </w:r>
    </w:p>
    <w:p w14:paraId="35224C3C" w14:textId="5186B226" w:rsidR="00DD2542" w:rsidRDefault="00DD2542" w:rsidP="00FF569F">
      <w:pPr>
        <w:pStyle w:val="Heading2"/>
      </w:pPr>
      <w:bookmarkStart w:id="13" w:name="_Toc183183458"/>
      <w:r w:rsidRPr="00CF49AF">
        <w:lastRenderedPageBreak/>
        <w:t xml:space="preserve">Focus Area </w:t>
      </w:r>
      <w:r w:rsidR="00993B2E">
        <w:t>4</w:t>
      </w:r>
      <w:r w:rsidRPr="00393D82">
        <w:t xml:space="preserve"> - </w:t>
      </w:r>
      <w:r w:rsidR="00C70177" w:rsidRPr="00C70177">
        <w:t>Support service coordination, information provision and advocacy for people who are experiencing</w:t>
      </w:r>
      <w:r w:rsidR="007A2524">
        <w:t xml:space="preserve"> or at risk of </w:t>
      </w:r>
      <w:r w:rsidR="00861014">
        <w:t>homelessness</w:t>
      </w:r>
      <w:r w:rsidR="00C70177" w:rsidRPr="00C70177">
        <w:t>.</w:t>
      </w:r>
      <w:bookmarkEnd w:id="13"/>
    </w:p>
    <w:tbl>
      <w:tblPr>
        <w:tblStyle w:val="TableGrid"/>
        <w:tblW w:w="0" w:type="auto"/>
        <w:tblLook w:val="04A0" w:firstRow="1" w:lastRow="0" w:firstColumn="1" w:lastColumn="0" w:noHBand="0" w:noVBand="1"/>
      </w:tblPr>
      <w:tblGrid>
        <w:gridCol w:w="13948"/>
      </w:tblGrid>
      <w:tr w:rsidR="00AE2054" w14:paraId="7B95F36A" w14:textId="77777777" w:rsidTr="00AE2054">
        <w:tc>
          <w:tcPr>
            <w:tcW w:w="13948" w:type="dxa"/>
          </w:tcPr>
          <w:p w14:paraId="6FA12C07" w14:textId="75809827" w:rsidR="00AE2054" w:rsidRPr="00E57396" w:rsidRDefault="00AE2054" w:rsidP="00AE67CA">
            <w:pPr>
              <w:rPr>
                <w:lang w:eastAsia="en-AU"/>
              </w:rPr>
            </w:pPr>
            <w:r w:rsidRPr="00E57396">
              <w:rPr>
                <w:lang w:eastAsia="en-AU"/>
              </w:rPr>
              <w:t xml:space="preserve">Update </w:t>
            </w:r>
            <w:r w:rsidR="002743BA">
              <w:rPr>
                <w:lang w:eastAsia="en-AU"/>
              </w:rPr>
              <w:t>February 2025</w:t>
            </w:r>
          </w:p>
          <w:p w14:paraId="40E765C3" w14:textId="77777777" w:rsidR="00E44F58" w:rsidRDefault="00A9431A" w:rsidP="00AE67CA">
            <w:pPr>
              <w:rPr>
                <w:rFonts w:ascii="Arial" w:eastAsia="Times New Roman" w:hAnsi="Arial" w:cs="Arial"/>
                <w:color w:val="000000" w:themeColor="text1"/>
                <w:lang w:eastAsia="en-AU"/>
              </w:rPr>
            </w:pPr>
            <w:r>
              <w:rPr>
                <w:rFonts w:ascii="Arial" w:eastAsia="Times New Roman" w:hAnsi="Arial" w:cs="Arial"/>
                <w:color w:val="000000" w:themeColor="text1"/>
                <w:lang w:eastAsia="en-AU"/>
              </w:rPr>
              <w:t xml:space="preserve">Council endorsed the </w:t>
            </w:r>
            <w:r w:rsidRPr="007C56F0">
              <w:rPr>
                <w:rFonts w:ascii="Arial" w:eastAsia="Times New Roman" w:hAnsi="Arial" w:cs="Arial"/>
                <w:i/>
                <w:iCs/>
                <w:color w:val="000000" w:themeColor="text1"/>
                <w:lang w:eastAsia="en-AU"/>
              </w:rPr>
              <w:t xml:space="preserve">Homelessness Strategy </w:t>
            </w:r>
            <w:r w:rsidRPr="007C56F0">
              <w:rPr>
                <w:rFonts w:ascii="Arial" w:eastAsia="Times New Roman" w:hAnsi="Arial" w:cs="Arial"/>
                <w:color w:val="000000" w:themeColor="text1"/>
                <w:lang w:eastAsia="en-AU"/>
              </w:rPr>
              <w:t>and</w:t>
            </w:r>
            <w:r>
              <w:rPr>
                <w:rFonts w:ascii="Arial" w:eastAsia="Times New Roman" w:hAnsi="Arial" w:cs="Arial"/>
                <w:color w:val="000000" w:themeColor="text1"/>
                <w:lang w:eastAsia="en-AU"/>
              </w:rPr>
              <w:t xml:space="preserve"> </w:t>
            </w:r>
            <w:r w:rsidRPr="007C56F0">
              <w:rPr>
                <w:rFonts w:ascii="Arial" w:eastAsia="Times New Roman" w:hAnsi="Arial" w:cs="Arial"/>
                <w:i/>
                <w:iCs/>
                <w:color w:val="000000" w:themeColor="text1"/>
                <w:lang w:eastAsia="en-AU"/>
              </w:rPr>
              <w:t>Action Plan</w:t>
            </w:r>
            <w:r>
              <w:rPr>
                <w:rFonts w:ascii="Arial" w:eastAsia="Times New Roman" w:hAnsi="Arial" w:cs="Arial"/>
                <w:color w:val="000000" w:themeColor="text1"/>
                <w:lang w:eastAsia="en-AU"/>
              </w:rPr>
              <w:t xml:space="preserve"> on 13 March 2024. It </w:t>
            </w:r>
            <w:r w:rsidRPr="00971EF3">
              <w:rPr>
                <w:rFonts w:ascii="Arial" w:eastAsia="Times New Roman" w:hAnsi="Arial" w:cs="Arial"/>
                <w:color w:val="000000" w:themeColor="text1"/>
                <w:lang w:eastAsia="en-AU"/>
              </w:rPr>
              <w:t>aims to address the multi-faceted issue of homelessness in Merri-bek, encompassing identifying needs and gaps, direct Council responses, and early intervention and prevention measures.</w:t>
            </w:r>
            <w:r w:rsidRPr="00305DB8">
              <w:t xml:space="preserve"> </w:t>
            </w:r>
            <w:r>
              <w:rPr>
                <w:rFonts w:ascii="Arial" w:eastAsia="Times New Roman" w:hAnsi="Arial" w:cs="Arial"/>
                <w:color w:val="000000" w:themeColor="text1"/>
                <w:lang w:eastAsia="en-AU"/>
              </w:rPr>
              <w:t xml:space="preserve"> </w:t>
            </w:r>
          </w:p>
          <w:p w14:paraId="66297A1D" w14:textId="45E3995F" w:rsidR="002F0E85" w:rsidRPr="002F0E85" w:rsidRDefault="00AC34B6" w:rsidP="002F0E85">
            <w:pPr>
              <w:suppressAutoHyphens w:val="0"/>
              <w:rPr>
                <w:rFonts w:ascii="Arial" w:eastAsia="Times New Roman" w:hAnsi="Arial" w:cs="Arial"/>
                <w:color w:val="000000" w:themeColor="text1"/>
                <w:lang w:eastAsia="en-AU"/>
              </w:rPr>
            </w:pPr>
            <w:r w:rsidRPr="002F0E85">
              <w:rPr>
                <w:rFonts w:ascii="Arial" w:eastAsia="Times New Roman" w:hAnsi="Arial" w:cs="Arial"/>
                <w:color w:val="000000" w:themeColor="text1"/>
                <w:lang w:eastAsia="en-AU"/>
              </w:rPr>
              <w:t xml:space="preserve">As </w:t>
            </w:r>
            <w:r w:rsidR="00A9431A" w:rsidRPr="002F0E85">
              <w:rPr>
                <w:rFonts w:ascii="Arial" w:eastAsia="Times New Roman" w:hAnsi="Arial" w:cs="Arial"/>
                <w:b/>
                <w:bCs/>
                <w:color w:val="000000" w:themeColor="text1"/>
                <w:lang w:eastAsia="en-AU"/>
              </w:rPr>
              <w:t>Focus Area 4</w:t>
            </w:r>
            <w:r w:rsidR="00A9431A" w:rsidRPr="002F0E85">
              <w:rPr>
                <w:rFonts w:ascii="Arial" w:eastAsia="Times New Roman" w:hAnsi="Arial" w:cs="Arial"/>
                <w:color w:val="000000" w:themeColor="text1"/>
                <w:lang w:eastAsia="en-AU"/>
              </w:rPr>
              <w:t xml:space="preserve"> of </w:t>
            </w:r>
            <w:r w:rsidR="00867316" w:rsidRPr="002F0E85">
              <w:rPr>
                <w:rFonts w:ascii="Arial" w:eastAsia="Times New Roman" w:hAnsi="Arial" w:cs="Arial"/>
                <w:color w:val="000000" w:themeColor="text1"/>
                <w:lang w:eastAsia="en-AU"/>
              </w:rPr>
              <w:t xml:space="preserve">this </w:t>
            </w:r>
            <w:r w:rsidR="00A9431A" w:rsidRPr="002F0E85">
              <w:rPr>
                <w:rFonts w:ascii="Arial" w:eastAsia="Times New Roman" w:hAnsi="Arial" w:cs="Arial"/>
                <w:i/>
                <w:iCs/>
                <w:color w:val="000000" w:themeColor="text1"/>
                <w:lang w:eastAsia="en-AU"/>
              </w:rPr>
              <w:t>Affordable Housing Action Plan</w:t>
            </w:r>
            <w:r w:rsidR="00A9431A" w:rsidRPr="002F0E85">
              <w:rPr>
                <w:rFonts w:ascii="Arial" w:eastAsia="Times New Roman" w:hAnsi="Arial" w:cs="Arial"/>
                <w:color w:val="000000" w:themeColor="text1"/>
                <w:lang w:eastAsia="en-AU"/>
              </w:rPr>
              <w:t xml:space="preserve"> is duplicated</w:t>
            </w:r>
            <w:r w:rsidR="00E44F58" w:rsidRPr="002F0E85">
              <w:rPr>
                <w:rFonts w:ascii="Arial" w:eastAsia="Times New Roman" w:hAnsi="Arial" w:cs="Arial"/>
                <w:color w:val="000000" w:themeColor="text1"/>
                <w:lang w:eastAsia="en-AU"/>
              </w:rPr>
              <w:t xml:space="preserve"> and expanded upon</w:t>
            </w:r>
            <w:r w:rsidR="00A9431A" w:rsidRPr="002F0E85">
              <w:rPr>
                <w:rFonts w:ascii="Arial" w:eastAsia="Times New Roman" w:hAnsi="Arial" w:cs="Arial"/>
                <w:color w:val="000000" w:themeColor="text1"/>
                <w:lang w:eastAsia="en-AU"/>
              </w:rPr>
              <w:t xml:space="preserve"> in the </w:t>
            </w:r>
            <w:r w:rsidR="00A9431A" w:rsidRPr="002F0E85">
              <w:rPr>
                <w:rFonts w:ascii="Arial" w:eastAsia="Times New Roman" w:hAnsi="Arial" w:cs="Arial"/>
                <w:i/>
                <w:iCs/>
                <w:color w:val="000000" w:themeColor="text1"/>
                <w:lang w:eastAsia="en-AU"/>
              </w:rPr>
              <w:t>Homelessness Strategy</w:t>
            </w:r>
            <w:r w:rsidR="00A9431A" w:rsidRPr="002F0E85">
              <w:rPr>
                <w:rFonts w:ascii="Arial" w:eastAsia="Times New Roman" w:hAnsi="Arial" w:cs="Arial"/>
                <w:color w:val="000000" w:themeColor="text1"/>
                <w:lang w:eastAsia="en-AU"/>
              </w:rPr>
              <w:t xml:space="preserve"> and </w:t>
            </w:r>
            <w:r w:rsidR="00A9431A" w:rsidRPr="002F0E85">
              <w:rPr>
                <w:rFonts w:ascii="Arial" w:eastAsia="Times New Roman" w:hAnsi="Arial" w:cs="Arial"/>
                <w:i/>
                <w:iCs/>
                <w:color w:val="000000" w:themeColor="text1"/>
                <w:lang w:eastAsia="en-AU"/>
              </w:rPr>
              <w:t>Action Plan</w:t>
            </w:r>
            <w:r w:rsidR="00867316" w:rsidRPr="002F0E85">
              <w:rPr>
                <w:rFonts w:ascii="Arial" w:eastAsia="Times New Roman" w:hAnsi="Arial" w:cs="Arial"/>
                <w:color w:val="000000" w:themeColor="text1"/>
                <w:lang w:eastAsia="en-AU"/>
              </w:rPr>
              <w:t xml:space="preserve">      </w:t>
            </w:r>
            <w:r w:rsidR="00A9431A" w:rsidRPr="002F0E85">
              <w:rPr>
                <w:rFonts w:ascii="Arial" w:eastAsia="Times New Roman" w:hAnsi="Arial" w:cs="Arial"/>
                <w:color w:val="000000" w:themeColor="text1"/>
                <w:lang w:eastAsia="en-AU"/>
              </w:rPr>
              <w:t xml:space="preserve"> </w:t>
            </w:r>
            <w:r w:rsidR="00E57396">
              <w:rPr>
                <w:rFonts w:ascii="Arial" w:eastAsia="Times New Roman" w:hAnsi="Arial" w:cs="Arial"/>
                <w:color w:val="000000" w:themeColor="text1"/>
                <w:lang w:eastAsia="en-AU"/>
              </w:rPr>
              <w:t>(</w:t>
            </w:r>
            <w:r w:rsidR="00A9431A" w:rsidRPr="002F0E85">
              <w:rPr>
                <w:rFonts w:ascii="Arial" w:eastAsia="Times New Roman" w:hAnsi="Arial" w:cs="Arial"/>
                <w:color w:val="000000" w:themeColor="text1"/>
                <w:lang w:eastAsia="en-AU"/>
              </w:rPr>
              <w:t xml:space="preserve">except for ‘Convene Merri-bek Family Violence Network’ which is captured in the </w:t>
            </w:r>
            <w:r w:rsidR="00A9431A" w:rsidRPr="002F0E85">
              <w:rPr>
                <w:rFonts w:ascii="Arial" w:eastAsia="Times New Roman" w:hAnsi="Arial" w:cs="Arial"/>
                <w:i/>
                <w:iCs/>
                <w:color w:val="000000" w:themeColor="text1"/>
                <w:lang w:eastAsia="en-AU"/>
              </w:rPr>
              <w:t>Gender Equality Commitment Action Plan</w:t>
            </w:r>
            <w:r w:rsidRPr="002F0E85">
              <w:rPr>
                <w:rFonts w:ascii="Arial" w:eastAsia="Times New Roman" w:hAnsi="Arial" w:cs="Arial"/>
                <w:color w:val="000000" w:themeColor="text1"/>
                <w:lang w:eastAsia="en-AU"/>
              </w:rPr>
              <w:t xml:space="preserve">), </w:t>
            </w:r>
            <w:r w:rsidR="00EF0579">
              <w:rPr>
                <w:rFonts w:ascii="Arial" w:eastAsia="Times New Roman" w:hAnsi="Arial" w:cs="Arial"/>
                <w:color w:val="000000" w:themeColor="text1"/>
                <w:lang w:eastAsia="en-AU"/>
              </w:rPr>
              <w:t>a</w:t>
            </w:r>
            <w:r w:rsidR="002F0E85" w:rsidRPr="002F0E85">
              <w:rPr>
                <w:rFonts w:ascii="Arial" w:eastAsia="Times New Roman" w:hAnsi="Arial" w:cs="Arial"/>
                <w:color w:val="000000" w:themeColor="text1"/>
                <w:lang w:eastAsia="en-AU"/>
              </w:rPr>
              <w:t xml:space="preserve">ctions under Focus Area 4 are to be progressed and reported on through the </w:t>
            </w:r>
            <w:r w:rsidR="002F0E85" w:rsidRPr="002F0E85">
              <w:rPr>
                <w:rFonts w:ascii="Arial" w:eastAsia="Times New Roman" w:hAnsi="Arial" w:cs="Arial"/>
                <w:i/>
                <w:iCs/>
                <w:color w:val="000000" w:themeColor="text1"/>
                <w:lang w:eastAsia="en-AU"/>
              </w:rPr>
              <w:t>Homelessness Strategy</w:t>
            </w:r>
            <w:r w:rsidR="002F0E85" w:rsidRPr="002F0E85">
              <w:rPr>
                <w:rFonts w:ascii="Arial" w:eastAsia="Times New Roman" w:hAnsi="Arial" w:cs="Arial"/>
                <w:color w:val="000000" w:themeColor="text1"/>
                <w:lang w:eastAsia="en-AU"/>
              </w:rPr>
              <w:t xml:space="preserve"> and </w:t>
            </w:r>
            <w:r w:rsidR="002F0E85" w:rsidRPr="002F0E85">
              <w:rPr>
                <w:rFonts w:ascii="Arial" w:eastAsia="Times New Roman" w:hAnsi="Arial" w:cs="Arial"/>
                <w:i/>
                <w:iCs/>
                <w:color w:val="000000" w:themeColor="text1"/>
                <w:lang w:eastAsia="en-AU"/>
              </w:rPr>
              <w:t>Action Plan</w:t>
            </w:r>
            <w:r w:rsidR="002F0E85">
              <w:rPr>
                <w:rFonts w:ascii="Arial" w:eastAsia="Times New Roman" w:hAnsi="Arial" w:cs="Arial"/>
                <w:i/>
                <w:iCs/>
                <w:color w:val="000000" w:themeColor="text1"/>
                <w:lang w:eastAsia="en-AU"/>
              </w:rPr>
              <w:t>.</w:t>
            </w:r>
            <w:r w:rsidR="002F0E85" w:rsidRPr="002F0E85">
              <w:rPr>
                <w:rFonts w:ascii="Arial" w:eastAsia="Times New Roman" w:hAnsi="Arial" w:cs="Arial"/>
                <w:color w:val="000000" w:themeColor="text1"/>
                <w:lang w:eastAsia="en-AU"/>
              </w:rPr>
              <w:t xml:space="preserve">    </w:t>
            </w:r>
          </w:p>
          <w:p w14:paraId="1C0EB72D" w14:textId="603E9C20" w:rsidR="00A9431A" w:rsidRDefault="00A9431A" w:rsidP="002F0E85">
            <w:pPr>
              <w:rPr>
                <w:lang w:eastAsia="en-AU"/>
              </w:rPr>
            </w:pPr>
          </w:p>
        </w:tc>
      </w:tr>
    </w:tbl>
    <w:p w14:paraId="42FBF952" w14:textId="77777777" w:rsidR="00AE67CA" w:rsidRPr="00AE67CA" w:rsidRDefault="00AE67CA" w:rsidP="00AE67CA">
      <w:pPr>
        <w:rPr>
          <w:lang w:eastAsia="en-AU"/>
        </w:rPr>
      </w:pPr>
    </w:p>
    <w:p w14:paraId="0BFAFF69" w14:textId="37251578" w:rsidR="00DD2542" w:rsidRDefault="00DD2542" w:rsidP="00DD2542">
      <w:pPr>
        <w:pStyle w:val="NoSpacing"/>
      </w:pPr>
    </w:p>
    <w:tbl>
      <w:tblPr>
        <w:tblStyle w:val="TableGrid"/>
        <w:tblW w:w="5232" w:type="pct"/>
        <w:tblInd w:w="-431" w:type="dxa"/>
        <w:tblLook w:val="04A0" w:firstRow="1" w:lastRow="0" w:firstColumn="1" w:lastColumn="0" w:noHBand="0" w:noVBand="1"/>
      </w:tblPr>
      <w:tblGrid>
        <w:gridCol w:w="2594"/>
        <w:gridCol w:w="5674"/>
        <w:gridCol w:w="2166"/>
        <w:gridCol w:w="514"/>
        <w:gridCol w:w="406"/>
        <w:gridCol w:w="406"/>
        <w:gridCol w:w="482"/>
        <w:gridCol w:w="2353"/>
      </w:tblGrid>
      <w:tr w:rsidR="00DD2542" w:rsidRPr="00FA5C60" w14:paraId="353A15C4" w14:textId="77777777" w:rsidTr="00AE743E">
        <w:trPr>
          <w:trHeight w:val="887"/>
          <w:tblHeader/>
        </w:trPr>
        <w:tc>
          <w:tcPr>
            <w:tcW w:w="889" w:type="pct"/>
            <w:tcBorders>
              <w:top w:val="single" w:sz="4" w:space="0" w:color="auto"/>
              <w:left w:val="single" w:sz="4" w:space="0" w:color="auto"/>
              <w:bottom w:val="single" w:sz="4" w:space="0" w:color="auto"/>
              <w:right w:val="single" w:sz="4" w:space="0" w:color="auto"/>
            </w:tcBorders>
            <w:shd w:val="clear" w:color="auto" w:fill="FF0000"/>
          </w:tcPr>
          <w:p w14:paraId="6CF82DC7" w14:textId="77777777" w:rsidR="00DD2542" w:rsidRPr="00082774" w:rsidRDefault="00DD2542" w:rsidP="00DD2542">
            <w:pPr>
              <w:spacing w:after="160" w:line="259" w:lineRule="auto"/>
              <w:rPr>
                <w:b/>
                <w:bCs/>
                <w:color w:val="FFFFFF" w:themeColor="background1"/>
              </w:rPr>
            </w:pPr>
            <w:r w:rsidRPr="00082774">
              <w:rPr>
                <w:b/>
                <w:bCs/>
                <w:color w:val="FFFFFF" w:themeColor="background1"/>
              </w:rPr>
              <w:t>Action</w:t>
            </w:r>
          </w:p>
        </w:tc>
        <w:tc>
          <w:tcPr>
            <w:tcW w:w="1944" w:type="pct"/>
            <w:tcBorders>
              <w:top w:val="single" w:sz="4" w:space="0" w:color="auto"/>
              <w:left w:val="single" w:sz="4" w:space="0" w:color="auto"/>
              <w:bottom w:val="single" w:sz="4" w:space="0" w:color="auto"/>
              <w:right w:val="single" w:sz="4" w:space="0" w:color="auto"/>
            </w:tcBorders>
            <w:shd w:val="clear" w:color="auto" w:fill="FF0000"/>
          </w:tcPr>
          <w:p w14:paraId="0801183E" w14:textId="77777777" w:rsidR="00DD2542" w:rsidRPr="00082774" w:rsidRDefault="00DD2542" w:rsidP="00DD2542">
            <w:pPr>
              <w:spacing w:after="160" w:line="259" w:lineRule="auto"/>
              <w:rPr>
                <w:b/>
                <w:bCs/>
                <w:color w:val="FFFFFF" w:themeColor="background1"/>
              </w:rPr>
            </w:pPr>
            <w:r w:rsidRPr="00082774">
              <w:rPr>
                <w:b/>
                <w:bCs/>
                <w:color w:val="FFFFFF" w:themeColor="background1"/>
              </w:rPr>
              <w:t>Activities</w:t>
            </w:r>
          </w:p>
        </w:tc>
        <w:tc>
          <w:tcPr>
            <w:tcW w:w="742" w:type="pct"/>
            <w:tcBorders>
              <w:top w:val="single" w:sz="4" w:space="0" w:color="auto"/>
              <w:left w:val="single" w:sz="4" w:space="0" w:color="auto"/>
              <w:bottom w:val="single" w:sz="4" w:space="0" w:color="auto"/>
              <w:right w:val="single" w:sz="4" w:space="0" w:color="auto"/>
            </w:tcBorders>
            <w:shd w:val="clear" w:color="auto" w:fill="FF0000"/>
          </w:tcPr>
          <w:p w14:paraId="2D0BBA32" w14:textId="1C89996D" w:rsidR="00DD2542" w:rsidRPr="00082774" w:rsidRDefault="00DD2542" w:rsidP="00DD2542">
            <w:pPr>
              <w:spacing w:after="160" w:line="259" w:lineRule="auto"/>
              <w:rPr>
                <w:b/>
                <w:bCs/>
                <w:color w:val="FFFFFF" w:themeColor="background1"/>
              </w:rPr>
            </w:pPr>
            <w:r w:rsidRPr="00082774">
              <w:rPr>
                <w:b/>
                <w:bCs/>
                <w:color w:val="FFFFFF" w:themeColor="background1"/>
              </w:rPr>
              <w:t>Lead Unit</w:t>
            </w:r>
            <w:r w:rsidR="00DE468A" w:rsidRPr="00082774">
              <w:rPr>
                <w:b/>
                <w:bCs/>
                <w:color w:val="FFFFFF" w:themeColor="background1"/>
              </w:rPr>
              <w:t xml:space="preserve"> </w:t>
            </w:r>
            <w:r w:rsidRPr="00082774">
              <w:rPr>
                <w:b/>
                <w:bCs/>
                <w:color w:val="FFFFFF" w:themeColor="background1"/>
              </w:rPr>
              <w:t>/</w:t>
            </w:r>
            <w:r w:rsidR="00764A06" w:rsidRPr="00082774">
              <w:rPr>
                <w:b/>
                <w:bCs/>
                <w:color w:val="FFFFFF" w:themeColor="background1"/>
              </w:rPr>
              <w:t xml:space="preserve"> </w:t>
            </w:r>
            <w:r w:rsidRPr="00082774">
              <w:rPr>
                <w:b/>
                <w:bCs/>
                <w:color w:val="FFFFFF" w:themeColor="background1"/>
              </w:rPr>
              <w:t>Supporting Unit(s)</w:t>
            </w:r>
          </w:p>
        </w:tc>
        <w:tc>
          <w:tcPr>
            <w:tcW w:w="619" w:type="pct"/>
            <w:gridSpan w:val="4"/>
            <w:tcBorders>
              <w:top w:val="single" w:sz="4" w:space="0" w:color="auto"/>
              <w:left w:val="single" w:sz="4" w:space="0" w:color="auto"/>
              <w:bottom w:val="single" w:sz="4" w:space="0" w:color="auto"/>
              <w:right w:val="single" w:sz="4" w:space="0" w:color="auto"/>
            </w:tcBorders>
            <w:shd w:val="clear" w:color="auto" w:fill="FF0000"/>
          </w:tcPr>
          <w:p w14:paraId="35F2E86E" w14:textId="77777777" w:rsidR="00DD2542" w:rsidRPr="00082774" w:rsidRDefault="00DD2542" w:rsidP="00DD2542">
            <w:pPr>
              <w:spacing w:after="160" w:line="259" w:lineRule="auto"/>
              <w:rPr>
                <w:b/>
                <w:bCs/>
                <w:color w:val="FFFFFF" w:themeColor="background1"/>
              </w:rPr>
            </w:pPr>
            <w:r w:rsidRPr="00082774">
              <w:rPr>
                <w:b/>
                <w:bCs/>
                <w:color w:val="FFFFFF" w:themeColor="background1"/>
              </w:rPr>
              <w:t>Timing</w:t>
            </w:r>
          </w:p>
          <w:p w14:paraId="42CB9CC0" w14:textId="77777777" w:rsidR="00DD2542" w:rsidRPr="00082774" w:rsidRDefault="00DD2542" w:rsidP="00DD2542">
            <w:pPr>
              <w:spacing w:after="160" w:line="259" w:lineRule="auto"/>
              <w:rPr>
                <w:b/>
                <w:bCs/>
                <w:color w:val="FFFFFF" w:themeColor="background1"/>
              </w:rPr>
            </w:pPr>
            <w:r w:rsidRPr="00082774">
              <w:rPr>
                <w:b/>
                <w:bCs/>
                <w:color w:val="FFFFFF" w:themeColor="background1"/>
              </w:rPr>
              <w:t>Y1   Y2   Y3  Y4</w:t>
            </w:r>
          </w:p>
        </w:tc>
        <w:tc>
          <w:tcPr>
            <w:tcW w:w="806" w:type="pct"/>
            <w:tcBorders>
              <w:top w:val="single" w:sz="4" w:space="0" w:color="auto"/>
              <w:left w:val="single" w:sz="4" w:space="0" w:color="auto"/>
              <w:bottom w:val="single" w:sz="4" w:space="0" w:color="auto"/>
              <w:right w:val="single" w:sz="4" w:space="0" w:color="auto"/>
            </w:tcBorders>
            <w:shd w:val="clear" w:color="auto" w:fill="FF0000"/>
          </w:tcPr>
          <w:p w14:paraId="184954F5" w14:textId="77777777" w:rsidR="00DD2542" w:rsidRPr="00082774" w:rsidRDefault="00DD2542" w:rsidP="00DD2542">
            <w:pPr>
              <w:spacing w:after="160" w:line="259" w:lineRule="auto"/>
              <w:rPr>
                <w:b/>
                <w:bCs/>
                <w:color w:val="FFFFFF" w:themeColor="background1"/>
              </w:rPr>
            </w:pPr>
            <w:r w:rsidRPr="00082774">
              <w:rPr>
                <w:b/>
                <w:bCs/>
                <w:color w:val="FFFFFF" w:themeColor="background1"/>
              </w:rPr>
              <w:t>Resources</w:t>
            </w:r>
          </w:p>
          <w:p w14:paraId="504D015C" w14:textId="77777777" w:rsidR="00DD2542" w:rsidRPr="00082774" w:rsidRDefault="00DD2542" w:rsidP="00DD2542">
            <w:pPr>
              <w:spacing w:after="160" w:line="259" w:lineRule="auto"/>
              <w:rPr>
                <w:b/>
                <w:bCs/>
                <w:color w:val="FFFFFF" w:themeColor="background1"/>
              </w:rPr>
            </w:pPr>
          </w:p>
        </w:tc>
      </w:tr>
      <w:tr w:rsidR="00DD2542" w:rsidRPr="00FA5C60" w14:paraId="1A4A8C9A" w14:textId="77777777" w:rsidTr="00AE743E">
        <w:trPr>
          <w:trHeight w:val="834"/>
        </w:trPr>
        <w:tc>
          <w:tcPr>
            <w:tcW w:w="889" w:type="pct"/>
            <w:vMerge w:val="restart"/>
            <w:tcBorders>
              <w:top w:val="single" w:sz="4" w:space="0" w:color="auto"/>
              <w:left w:val="single" w:sz="4" w:space="0" w:color="auto"/>
              <w:bottom w:val="single" w:sz="4" w:space="0" w:color="auto"/>
              <w:right w:val="single" w:sz="4" w:space="0" w:color="auto"/>
            </w:tcBorders>
            <w:shd w:val="clear" w:color="auto" w:fill="F9D3D3"/>
          </w:tcPr>
          <w:p w14:paraId="4870E9C9" w14:textId="300B62CC" w:rsidR="00DD2542" w:rsidRDefault="00DD2542" w:rsidP="000274A5">
            <w:pPr>
              <w:spacing w:after="160" w:line="259" w:lineRule="auto"/>
              <w:rPr>
                <w:b/>
                <w:bCs/>
              </w:rPr>
            </w:pPr>
            <w:r w:rsidRPr="00FA5C60">
              <w:rPr>
                <w:b/>
                <w:bCs/>
              </w:rPr>
              <w:t xml:space="preserve">4.1 Employ best practice service coordination to </w:t>
            </w:r>
            <w:r w:rsidR="00D11A05">
              <w:rPr>
                <w:b/>
                <w:bCs/>
              </w:rPr>
              <w:t>reduce rough</w:t>
            </w:r>
            <w:r w:rsidRPr="00FA5C60">
              <w:rPr>
                <w:b/>
                <w:bCs/>
              </w:rPr>
              <w:t xml:space="preserve"> sleeping</w:t>
            </w:r>
            <w:r w:rsidR="007B343E">
              <w:rPr>
                <w:b/>
                <w:bCs/>
              </w:rPr>
              <w:t xml:space="preserve"> in M</w:t>
            </w:r>
            <w:r w:rsidR="00F42A1B">
              <w:rPr>
                <w:b/>
                <w:bCs/>
              </w:rPr>
              <w:t>erri-bek</w:t>
            </w:r>
            <w:r w:rsidRPr="00FA5C60">
              <w:rPr>
                <w:b/>
                <w:bCs/>
              </w:rPr>
              <w:t xml:space="preserve"> </w:t>
            </w:r>
          </w:p>
          <w:p w14:paraId="3E4A7F1A" w14:textId="21D3765F" w:rsidR="00F415D4" w:rsidRPr="00FA5C60" w:rsidRDefault="00F415D4" w:rsidP="000274A5">
            <w:pPr>
              <w:spacing w:after="160" w:line="259" w:lineRule="auto"/>
              <w:rPr>
                <w:b/>
                <w:bCs/>
              </w:rPr>
            </w:pPr>
          </w:p>
        </w:tc>
        <w:tc>
          <w:tcPr>
            <w:tcW w:w="1944" w:type="pct"/>
            <w:tcBorders>
              <w:top w:val="single" w:sz="4" w:space="0" w:color="auto"/>
              <w:left w:val="single" w:sz="4" w:space="0" w:color="auto"/>
              <w:bottom w:val="single" w:sz="4" w:space="0" w:color="auto"/>
              <w:right w:val="single" w:sz="4" w:space="0" w:color="auto"/>
            </w:tcBorders>
            <w:shd w:val="clear" w:color="auto" w:fill="F9D3D3"/>
          </w:tcPr>
          <w:p w14:paraId="4AFAED4C" w14:textId="3FD9EB46" w:rsidR="00DD2542" w:rsidRPr="00C2785B" w:rsidRDefault="00DD2542" w:rsidP="00DD2542">
            <w:pPr>
              <w:spacing w:after="160" w:line="259" w:lineRule="auto"/>
            </w:pPr>
            <w:r w:rsidRPr="00C2785B">
              <w:t xml:space="preserve">Scope partnership opportunities with local homelessness and community service providers to establish a </w:t>
            </w:r>
            <w:r w:rsidR="00F42A1B">
              <w:t>Merri-bek</w:t>
            </w:r>
            <w:r w:rsidR="00F027BC">
              <w:t xml:space="preserve"> </w:t>
            </w:r>
            <w:r w:rsidRPr="00C2785B">
              <w:t>Functional Zero approach</w:t>
            </w:r>
            <w:r w:rsidR="00861014">
              <w:t>.</w:t>
            </w:r>
            <w:r w:rsidRPr="00C2785B">
              <w:t xml:space="preserve"> </w:t>
            </w:r>
          </w:p>
        </w:tc>
        <w:tc>
          <w:tcPr>
            <w:tcW w:w="742" w:type="pct"/>
            <w:tcBorders>
              <w:top w:val="single" w:sz="4" w:space="0" w:color="auto"/>
              <w:left w:val="single" w:sz="4" w:space="0" w:color="auto"/>
              <w:bottom w:val="single" w:sz="4" w:space="0" w:color="auto"/>
              <w:right w:val="single" w:sz="4" w:space="0" w:color="auto"/>
            </w:tcBorders>
            <w:shd w:val="clear" w:color="auto" w:fill="F9D3D3"/>
          </w:tcPr>
          <w:p w14:paraId="176E692F" w14:textId="77777777" w:rsidR="00DD2542" w:rsidRPr="00C2785B" w:rsidRDefault="00DD2542" w:rsidP="00DD2542">
            <w:pPr>
              <w:spacing w:after="160" w:line="259" w:lineRule="auto"/>
            </w:pPr>
            <w:r w:rsidRPr="00C2785B">
              <w:t>Community Wellbeing</w:t>
            </w:r>
          </w:p>
        </w:tc>
        <w:tc>
          <w:tcPr>
            <w:tcW w:w="176" w:type="pct"/>
            <w:tcBorders>
              <w:top w:val="single" w:sz="4" w:space="0" w:color="auto"/>
              <w:left w:val="single" w:sz="4" w:space="0" w:color="auto"/>
              <w:bottom w:val="single" w:sz="4" w:space="0" w:color="auto"/>
              <w:right w:val="single" w:sz="4" w:space="0" w:color="auto"/>
            </w:tcBorders>
            <w:shd w:val="clear" w:color="auto" w:fill="FFFFFF" w:themeFill="background1"/>
          </w:tcPr>
          <w:p w14:paraId="01C5EB1F" w14:textId="77777777" w:rsidR="00DD2542" w:rsidRPr="00C2785B" w:rsidRDefault="00DD2542" w:rsidP="00DD2542">
            <w:pPr>
              <w:spacing w:after="160" w:line="259" w:lineRule="auto"/>
            </w:pPr>
            <w:r w:rsidRPr="00C2785B">
              <w:t>X</w:t>
            </w: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tcPr>
          <w:p w14:paraId="20D9BCD6" w14:textId="77777777" w:rsidR="00DD2542" w:rsidRPr="00C2785B" w:rsidRDefault="00DD2542" w:rsidP="00DD2542">
            <w:pPr>
              <w:spacing w:after="160" w:line="259" w:lineRule="auto"/>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tcPr>
          <w:p w14:paraId="5C2E168A" w14:textId="77777777" w:rsidR="00DD2542" w:rsidRPr="00C2785B" w:rsidRDefault="00DD2542" w:rsidP="00DD2542">
            <w:pPr>
              <w:spacing w:after="160" w:line="259" w:lineRule="auto"/>
            </w:pP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14:paraId="6F2390D5" w14:textId="77777777" w:rsidR="00DD2542" w:rsidRPr="00C2785B" w:rsidRDefault="00DD2542" w:rsidP="00DD2542">
            <w:pPr>
              <w:spacing w:after="160" w:line="259" w:lineRule="auto"/>
            </w:pPr>
          </w:p>
        </w:tc>
        <w:tc>
          <w:tcPr>
            <w:tcW w:w="806" w:type="pct"/>
            <w:tcBorders>
              <w:top w:val="single" w:sz="4" w:space="0" w:color="auto"/>
              <w:left w:val="single" w:sz="4" w:space="0" w:color="auto"/>
              <w:bottom w:val="single" w:sz="4" w:space="0" w:color="auto"/>
              <w:right w:val="single" w:sz="4" w:space="0" w:color="auto"/>
            </w:tcBorders>
            <w:shd w:val="clear" w:color="auto" w:fill="F9D3D3"/>
          </w:tcPr>
          <w:p w14:paraId="42784060" w14:textId="2623BAFE" w:rsidR="00DD2542" w:rsidRPr="00C2785B" w:rsidRDefault="00EB36D4" w:rsidP="00DD2542">
            <w:pPr>
              <w:spacing w:after="160" w:line="259" w:lineRule="auto"/>
            </w:pPr>
            <w:r w:rsidRPr="00EB36D4">
              <w:t>Existing staff and unit budget</w:t>
            </w:r>
            <w:r w:rsidR="00DD2542" w:rsidRPr="00C2785B">
              <w:t>; scope subject to additional funding</w:t>
            </w:r>
          </w:p>
        </w:tc>
      </w:tr>
      <w:tr w:rsidR="00DD2542" w:rsidRPr="00FA5C60" w14:paraId="14AC36D2" w14:textId="77777777" w:rsidTr="00AE743E">
        <w:trPr>
          <w:trHeight w:val="720"/>
        </w:trPr>
        <w:tc>
          <w:tcPr>
            <w:tcW w:w="889" w:type="pct"/>
            <w:vMerge/>
          </w:tcPr>
          <w:p w14:paraId="3900AEBC" w14:textId="77777777" w:rsidR="00DD2542" w:rsidRPr="00FA5C60" w:rsidRDefault="00DD2542" w:rsidP="00DD2542">
            <w:pPr>
              <w:spacing w:after="160" w:line="259" w:lineRule="auto"/>
              <w:rPr>
                <w:b/>
                <w:bCs/>
              </w:rPr>
            </w:pPr>
          </w:p>
        </w:tc>
        <w:tc>
          <w:tcPr>
            <w:tcW w:w="1944" w:type="pct"/>
            <w:tcBorders>
              <w:top w:val="single" w:sz="4" w:space="0" w:color="auto"/>
              <w:left w:val="single" w:sz="4" w:space="0" w:color="auto"/>
              <w:bottom w:val="single" w:sz="4" w:space="0" w:color="auto"/>
              <w:right w:val="single" w:sz="4" w:space="0" w:color="auto"/>
            </w:tcBorders>
            <w:shd w:val="clear" w:color="auto" w:fill="F9D3D3"/>
          </w:tcPr>
          <w:p w14:paraId="6A3C4460" w14:textId="77777777" w:rsidR="00DD2542" w:rsidRPr="00C2785B" w:rsidRDefault="00DD2542" w:rsidP="00DD2542">
            <w:pPr>
              <w:spacing w:after="160" w:line="259" w:lineRule="auto"/>
            </w:pPr>
            <w:r w:rsidRPr="00C2785B">
              <w:t>Implement Service coordination improvements</w:t>
            </w:r>
          </w:p>
        </w:tc>
        <w:tc>
          <w:tcPr>
            <w:tcW w:w="742" w:type="pct"/>
            <w:tcBorders>
              <w:top w:val="single" w:sz="4" w:space="0" w:color="auto"/>
              <w:left w:val="single" w:sz="4" w:space="0" w:color="auto"/>
              <w:bottom w:val="single" w:sz="4" w:space="0" w:color="auto"/>
              <w:right w:val="single" w:sz="4" w:space="0" w:color="auto"/>
            </w:tcBorders>
            <w:shd w:val="clear" w:color="auto" w:fill="F9D3D3"/>
          </w:tcPr>
          <w:p w14:paraId="25180E2A" w14:textId="77777777" w:rsidR="00DD2542" w:rsidRPr="00C2785B" w:rsidRDefault="00DD2542" w:rsidP="00DD2542">
            <w:pPr>
              <w:spacing w:after="160" w:line="259" w:lineRule="auto"/>
            </w:pPr>
            <w:r w:rsidRPr="00C2785B">
              <w:t>Community Wellbeing</w:t>
            </w:r>
          </w:p>
        </w:tc>
        <w:tc>
          <w:tcPr>
            <w:tcW w:w="176" w:type="pct"/>
            <w:tcBorders>
              <w:top w:val="single" w:sz="4" w:space="0" w:color="auto"/>
              <w:left w:val="single" w:sz="4" w:space="0" w:color="auto"/>
              <w:bottom w:val="single" w:sz="4" w:space="0" w:color="auto"/>
              <w:right w:val="single" w:sz="4" w:space="0" w:color="auto"/>
            </w:tcBorders>
            <w:shd w:val="clear" w:color="auto" w:fill="FFFFFF" w:themeFill="background1"/>
          </w:tcPr>
          <w:p w14:paraId="26E41B54" w14:textId="77777777" w:rsidR="00DD2542" w:rsidRPr="00C2785B" w:rsidRDefault="00DD2542" w:rsidP="00DD2542">
            <w:pPr>
              <w:spacing w:after="160" w:line="259" w:lineRule="auto"/>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tcPr>
          <w:p w14:paraId="17F93697" w14:textId="77777777" w:rsidR="00DD2542" w:rsidRPr="00C2785B" w:rsidRDefault="00DD2542" w:rsidP="00DD2542">
            <w:pPr>
              <w:spacing w:after="160" w:line="259" w:lineRule="auto"/>
            </w:pPr>
            <w:r w:rsidRPr="00C2785B">
              <w:t>X</w:t>
            </w: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tcPr>
          <w:p w14:paraId="4EB006DC" w14:textId="77777777" w:rsidR="00DD2542" w:rsidRPr="00C2785B" w:rsidRDefault="00DD2542" w:rsidP="00DD2542">
            <w:pPr>
              <w:spacing w:after="160" w:line="259" w:lineRule="auto"/>
            </w:pPr>
            <w:r w:rsidRPr="00C2785B">
              <w:t>X</w:t>
            </w: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14:paraId="5204151D" w14:textId="77777777" w:rsidR="00DD2542" w:rsidRPr="00C2785B" w:rsidRDefault="00DD2542" w:rsidP="00DD2542">
            <w:pPr>
              <w:spacing w:after="160" w:line="259" w:lineRule="auto"/>
            </w:pPr>
            <w:r w:rsidRPr="00C2785B">
              <w:t>X</w:t>
            </w:r>
          </w:p>
        </w:tc>
        <w:tc>
          <w:tcPr>
            <w:tcW w:w="806" w:type="pct"/>
            <w:tcBorders>
              <w:top w:val="single" w:sz="4" w:space="0" w:color="auto"/>
              <w:left w:val="single" w:sz="4" w:space="0" w:color="auto"/>
              <w:bottom w:val="single" w:sz="4" w:space="0" w:color="auto"/>
              <w:right w:val="single" w:sz="4" w:space="0" w:color="auto"/>
            </w:tcBorders>
            <w:shd w:val="clear" w:color="auto" w:fill="F9D3D3"/>
          </w:tcPr>
          <w:p w14:paraId="01AAE8A8" w14:textId="43C95E97" w:rsidR="00DD2542" w:rsidRPr="00C2785B" w:rsidRDefault="00EB36D4" w:rsidP="00DD2542">
            <w:pPr>
              <w:spacing w:after="160" w:line="259" w:lineRule="auto"/>
            </w:pPr>
            <w:r w:rsidRPr="00EB36D4">
              <w:t>Existing staff and unit budget</w:t>
            </w:r>
            <w:r w:rsidR="00DD2542" w:rsidRPr="00C2785B">
              <w:t>; scope subject to additional funding</w:t>
            </w:r>
          </w:p>
        </w:tc>
      </w:tr>
      <w:tr w:rsidR="00EB36D4" w:rsidRPr="00FA5C60" w14:paraId="4264841C" w14:textId="77777777" w:rsidTr="003E22C4">
        <w:trPr>
          <w:trHeight w:val="738"/>
        </w:trPr>
        <w:tc>
          <w:tcPr>
            <w:tcW w:w="889" w:type="pct"/>
            <w:vMerge w:val="restart"/>
            <w:tcBorders>
              <w:top w:val="single" w:sz="4" w:space="0" w:color="auto"/>
              <w:left w:val="single" w:sz="4" w:space="0" w:color="auto"/>
              <w:right w:val="single" w:sz="4" w:space="0" w:color="auto"/>
            </w:tcBorders>
            <w:shd w:val="clear" w:color="auto" w:fill="F9D3D3"/>
          </w:tcPr>
          <w:p w14:paraId="2DBFDC33" w14:textId="77777777" w:rsidR="00EB36D4" w:rsidRPr="00FA5C60" w:rsidRDefault="00EB36D4" w:rsidP="00DD2542">
            <w:pPr>
              <w:spacing w:after="160" w:line="259" w:lineRule="auto"/>
              <w:rPr>
                <w:b/>
                <w:bCs/>
              </w:rPr>
            </w:pPr>
            <w:r w:rsidRPr="00FA5C60">
              <w:rPr>
                <w:b/>
                <w:bCs/>
              </w:rPr>
              <w:t xml:space="preserve">4.2 Active engagement </w:t>
            </w:r>
            <w:r>
              <w:rPr>
                <w:b/>
                <w:bCs/>
              </w:rPr>
              <w:t xml:space="preserve">and advocacy </w:t>
            </w:r>
            <w:r w:rsidRPr="00FA5C60">
              <w:rPr>
                <w:b/>
                <w:bCs/>
              </w:rPr>
              <w:t xml:space="preserve">with organisations and </w:t>
            </w:r>
            <w:r w:rsidRPr="00FA5C60">
              <w:rPr>
                <w:b/>
                <w:bCs/>
              </w:rPr>
              <w:lastRenderedPageBreak/>
              <w:t xml:space="preserve">networks that support rough sleepers </w:t>
            </w:r>
          </w:p>
        </w:tc>
        <w:tc>
          <w:tcPr>
            <w:tcW w:w="1944" w:type="pct"/>
            <w:tcBorders>
              <w:top w:val="single" w:sz="4" w:space="0" w:color="auto"/>
              <w:left w:val="single" w:sz="4" w:space="0" w:color="auto"/>
              <w:bottom w:val="single" w:sz="4" w:space="0" w:color="auto"/>
              <w:right w:val="single" w:sz="4" w:space="0" w:color="auto"/>
            </w:tcBorders>
            <w:shd w:val="clear" w:color="auto" w:fill="F9D3D3"/>
          </w:tcPr>
          <w:p w14:paraId="346F6D11" w14:textId="77777777" w:rsidR="00EB36D4" w:rsidRPr="00C2785B" w:rsidRDefault="00EB36D4" w:rsidP="00DD2542">
            <w:pPr>
              <w:spacing w:after="160" w:line="259" w:lineRule="auto"/>
            </w:pPr>
            <w:r w:rsidRPr="00C2785B">
              <w:lastRenderedPageBreak/>
              <w:t>Membership of Council to Homeless Persons</w:t>
            </w:r>
          </w:p>
        </w:tc>
        <w:tc>
          <w:tcPr>
            <w:tcW w:w="742" w:type="pct"/>
            <w:tcBorders>
              <w:top w:val="single" w:sz="4" w:space="0" w:color="auto"/>
              <w:left w:val="single" w:sz="4" w:space="0" w:color="auto"/>
              <w:bottom w:val="single" w:sz="4" w:space="0" w:color="auto"/>
              <w:right w:val="single" w:sz="4" w:space="0" w:color="auto"/>
            </w:tcBorders>
            <w:shd w:val="clear" w:color="auto" w:fill="F9D3D3"/>
          </w:tcPr>
          <w:p w14:paraId="31B7E52A" w14:textId="77777777" w:rsidR="00EB36D4" w:rsidRPr="00C2785B" w:rsidRDefault="00EB36D4" w:rsidP="00DD2542">
            <w:pPr>
              <w:spacing w:after="160" w:line="259" w:lineRule="auto"/>
            </w:pPr>
            <w:r w:rsidRPr="00C2785B">
              <w:t>Community Wellbeing</w:t>
            </w:r>
          </w:p>
        </w:tc>
        <w:tc>
          <w:tcPr>
            <w:tcW w:w="176" w:type="pct"/>
            <w:tcBorders>
              <w:top w:val="single" w:sz="4" w:space="0" w:color="auto"/>
              <w:left w:val="single" w:sz="4" w:space="0" w:color="auto"/>
              <w:bottom w:val="single" w:sz="4" w:space="0" w:color="auto"/>
              <w:right w:val="single" w:sz="4" w:space="0" w:color="auto"/>
            </w:tcBorders>
            <w:shd w:val="clear" w:color="auto" w:fill="FFFFFF" w:themeFill="background1"/>
          </w:tcPr>
          <w:p w14:paraId="76DF5ABD" w14:textId="77777777" w:rsidR="00EB36D4" w:rsidRPr="00C2785B" w:rsidRDefault="00EB36D4" w:rsidP="00DD2542">
            <w:pPr>
              <w:spacing w:after="160" w:line="259" w:lineRule="auto"/>
            </w:pPr>
            <w:r w:rsidRPr="00C2785B">
              <w:t>X</w:t>
            </w: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tcPr>
          <w:p w14:paraId="71A906BC" w14:textId="77777777" w:rsidR="00EB36D4" w:rsidRPr="00C2785B" w:rsidRDefault="00EB36D4" w:rsidP="00DD2542">
            <w:pPr>
              <w:spacing w:after="160" w:line="259" w:lineRule="auto"/>
            </w:pPr>
            <w:r w:rsidRPr="00C2785B">
              <w:t>X</w:t>
            </w: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tcPr>
          <w:p w14:paraId="7C7440B8" w14:textId="77777777" w:rsidR="00EB36D4" w:rsidRPr="00C2785B" w:rsidRDefault="00EB36D4" w:rsidP="00DD2542">
            <w:pPr>
              <w:spacing w:after="160" w:line="259" w:lineRule="auto"/>
            </w:pPr>
            <w:r w:rsidRPr="00C2785B">
              <w:t>X</w:t>
            </w: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14:paraId="12E3DEBD" w14:textId="77777777" w:rsidR="00EB36D4" w:rsidRPr="00C2785B" w:rsidRDefault="00EB36D4" w:rsidP="00DD2542">
            <w:pPr>
              <w:spacing w:after="160" w:line="259" w:lineRule="auto"/>
            </w:pPr>
            <w:r w:rsidRPr="00C2785B">
              <w:t>X</w:t>
            </w:r>
          </w:p>
        </w:tc>
        <w:tc>
          <w:tcPr>
            <w:tcW w:w="806" w:type="pct"/>
            <w:tcBorders>
              <w:top w:val="single" w:sz="4" w:space="0" w:color="auto"/>
              <w:left w:val="single" w:sz="4" w:space="0" w:color="auto"/>
              <w:bottom w:val="single" w:sz="4" w:space="0" w:color="auto"/>
              <w:right w:val="single" w:sz="4" w:space="0" w:color="auto"/>
            </w:tcBorders>
            <w:shd w:val="clear" w:color="auto" w:fill="F9D3D3"/>
          </w:tcPr>
          <w:p w14:paraId="4AE4B0EE" w14:textId="1F3EA92A" w:rsidR="00EB36D4" w:rsidRPr="00C2785B" w:rsidRDefault="00EB36D4" w:rsidP="00DD2542">
            <w:pPr>
              <w:spacing w:after="160" w:line="259" w:lineRule="auto"/>
            </w:pPr>
            <w:r w:rsidRPr="00EB36D4">
              <w:t>Existing staff and unit budget</w:t>
            </w:r>
          </w:p>
        </w:tc>
      </w:tr>
      <w:tr w:rsidR="00EB36D4" w:rsidRPr="00FA5C60" w14:paraId="2A716CF9" w14:textId="77777777" w:rsidTr="003E22C4">
        <w:trPr>
          <w:trHeight w:val="738"/>
        </w:trPr>
        <w:tc>
          <w:tcPr>
            <w:tcW w:w="889" w:type="pct"/>
            <w:vMerge/>
            <w:tcBorders>
              <w:left w:val="single" w:sz="4" w:space="0" w:color="auto"/>
              <w:right w:val="single" w:sz="4" w:space="0" w:color="auto"/>
            </w:tcBorders>
            <w:shd w:val="clear" w:color="auto" w:fill="F9D3D3"/>
          </w:tcPr>
          <w:p w14:paraId="252D045C" w14:textId="77777777" w:rsidR="00EB36D4" w:rsidRPr="00FA5C60" w:rsidRDefault="00EB36D4" w:rsidP="00DD2542">
            <w:pPr>
              <w:spacing w:after="160" w:line="259" w:lineRule="auto"/>
              <w:rPr>
                <w:b/>
                <w:bCs/>
              </w:rPr>
            </w:pPr>
          </w:p>
        </w:tc>
        <w:tc>
          <w:tcPr>
            <w:tcW w:w="1944" w:type="pct"/>
            <w:tcBorders>
              <w:top w:val="single" w:sz="4" w:space="0" w:color="auto"/>
              <w:left w:val="single" w:sz="4" w:space="0" w:color="auto"/>
              <w:bottom w:val="single" w:sz="4" w:space="0" w:color="auto"/>
              <w:right w:val="single" w:sz="4" w:space="0" w:color="auto"/>
            </w:tcBorders>
            <w:shd w:val="clear" w:color="auto" w:fill="F9D3D3"/>
          </w:tcPr>
          <w:p w14:paraId="4B0CFD43" w14:textId="77777777" w:rsidR="00EB36D4" w:rsidRPr="00C2785B" w:rsidRDefault="00EB36D4" w:rsidP="00DD2542">
            <w:pPr>
              <w:spacing w:after="160" w:line="259" w:lineRule="auto"/>
            </w:pPr>
            <w:r w:rsidRPr="00C2785B">
              <w:t>Join National Alliance to End Homelessness</w:t>
            </w:r>
          </w:p>
        </w:tc>
        <w:tc>
          <w:tcPr>
            <w:tcW w:w="742" w:type="pct"/>
            <w:tcBorders>
              <w:top w:val="single" w:sz="4" w:space="0" w:color="auto"/>
              <w:left w:val="single" w:sz="4" w:space="0" w:color="auto"/>
              <w:bottom w:val="single" w:sz="4" w:space="0" w:color="auto"/>
              <w:right w:val="single" w:sz="4" w:space="0" w:color="auto"/>
            </w:tcBorders>
            <w:shd w:val="clear" w:color="auto" w:fill="F9D3D3"/>
          </w:tcPr>
          <w:p w14:paraId="4C5CC3E3" w14:textId="77777777" w:rsidR="00EB36D4" w:rsidRPr="00C2785B" w:rsidRDefault="00EB36D4" w:rsidP="00DD2542">
            <w:pPr>
              <w:spacing w:after="160" w:line="259" w:lineRule="auto"/>
            </w:pPr>
            <w:r w:rsidRPr="00C2785B">
              <w:t>Community Wellbeing</w:t>
            </w:r>
          </w:p>
        </w:tc>
        <w:tc>
          <w:tcPr>
            <w:tcW w:w="176" w:type="pct"/>
            <w:tcBorders>
              <w:top w:val="single" w:sz="4" w:space="0" w:color="auto"/>
              <w:left w:val="single" w:sz="4" w:space="0" w:color="auto"/>
              <w:bottom w:val="single" w:sz="4" w:space="0" w:color="auto"/>
              <w:right w:val="single" w:sz="4" w:space="0" w:color="auto"/>
            </w:tcBorders>
            <w:shd w:val="clear" w:color="auto" w:fill="FFFFFF" w:themeFill="background1"/>
          </w:tcPr>
          <w:p w14:paraId="1DD3BF6C" w14:textId="77777777" w:rsidR="00EB36D4" w:rsidRPr="00C2785B" w:rsidRDefault="00EB36D4" w:rsidP="00DD2542">
            <w:pPr>
              <w:spacing w:after="160" w:line="259" w:lineRule="auto"/>
            </w:pPr>
            <w:r w:rsidRPr="00C2785B">
              <w:t>X</w:t>
            </w: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tcPr>
          <w:p w14:paraId="5F63518C" w14:textId="77777777" w:rsidR="00EB36D4" w:rsidRPr="00C2785B" w:rsidRDefault="00EB36D4" w:rsidP="00DD2542">
            <w:pPr>
              <w:spacing w:after="160" w:line="259" w:lineRule="auto"/>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tcPr>
          <w:p w14:paraId="003C545C" w14:textId="77777777" w:rsidR="00EB36D4" w:rsidRPr="00C2785B" w:rsidRDefault="00EB36D4" w:rsidP="00DD2542">
            <w:pPr>
              <w:spacing w:after="160" w:line="259" w:lineRule="auto"/>
            </w:pP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14:paraId="257D0180" w14:textId="77777777" w:rsidR="00EB36D4" w:rsidRPr="00C2785B" w:rsidRDefault="00EB36D4" w:rsidP="00DD2542">
            <w:pPr>
              <w:spacing w:after="160" w:line="259" w:lineRule="auto"/>
            </w:pPr>
          </w:p>
        </w:tc>
        <w:tc>
          <w:tcPr>
            <w:tcW w:w="806" w:type="pct"/>
            <w:tcBorders>
              <w:top w:val="single" w:sz="4" w:space="0" w:color="auto"/>
              <w:left w:val="single" w:sz="4" w:space="0" w:color="auto"/>
              <w:bottom w:val="single" w:sz="4" w:space="0" w:color="auto"/>
              <w:right w:val="single" w:sz="4" w:space="0" w:color="auto"/>
            </w:tcBorders>
            <w:shd w:val="clear" w:color="auto" w:fill="F9D3D3"/>
          </w:tcPr>
          <w:p w14:paraId="47AF4831" w14:textId="41EC6FB9" w:rsidR="00EB36D4" w:rsidRPr="00C2785B" w:rsidRDefault="00EB36D4" w:rsidP="00DD2542">
            <w:pPr>
              <w:spacing w:after="160" w:line="259" w:lineRule="auto"/>
            </w:pPr>
            <w:r w:rsidRPr="00EB36D4">
              <w:t>Existing staff and unit budget</w:t>
            </w:r>
          </w:p>
        </w:tc>
      </w:tr>
      <w:tr w:rsidR="00EB36D4" w:rsidRPr="00FA5C60" w14:paraId="5F86F64D" w14:textId="77777777" w:rsidTr="003E22C4">
        <w:trPr>
          <w:trHeight w:val="528"/>
        </w:trPr>
        <w:tc>
          <w:tcPr>
            <w:tcW w:w="889" w:type="pct"/>
            <w:vMerge/>
            <w:tcBorders>
              <w:left w:val="single" w:sz="4" w:space="0" w:color="auto"/>
              <w:right w:val="single" w:sz="4" w:space="0" w:color="auto"/>
            </w:tcBorders>
            <w:shd w:val="clear" w:color="auto" w:fill="F9D3D3"/>
          </w:tcPr>
          <w:p w14:paraId="5C6E58E2" w14:textId="77777777" w:rsidR="00EB36D4" w:rsidRPr="00FA5C60" w:rsidRDefault="00EB36D4" w:rsidP="00DD2542">
            <w:pPr>
              <w:spacing w:after="160" w:line="259" w:lineRule="auto"/>
              <w:rPr>
                <w:b/>
                <w:bCs/>
              </w:rPr>
            </w:pPr>
          </w:p>
        </w:tc>
        <w:tc>
          <w:tcPr>
            <w:tcW w:w="1944" w:type="pct"/>
            <w:tcBorders>
              <w:top w:val="single" w:sz="4" w:space="0" w:color="auto"/>
              <w:left w:val="single" w:sz="4" w:space="0" w:color="auto"/>
              <w:bottom w:val="single" w:sz="4" w:space="0" w:color="auto"/>
              <w:right w:val="single" w:sz="4" w:space="0" w:color="auto"/>
            </w:tcBorders>
            <w:shd w:val="clear" w:color="auto" w:fill="F9D3D3"/>
          </w:tcPr>
          <w:p w14:paraId="1054BA6F" w14:textId="77777777" w:rsidR="00EB36D4" w:rsidRPr="00C2785B" w:rsidRDefault="00EB36D4" w:rsidP="00DD2542">
            <w:pPr>
              <w:spacing w:after="160" w:line="259" w:lineRule="auto"/>
            </w:pPr>
            <w:r w:rsidRPr="00C2785B">
              <w:t>Participation in the Northern Local Area Service Network</w:t>
            </w:r>
          </w:p>
        </w:tc>
        <w:tc>
          <w:tcPr>
            <w:tcW w:w="742" w:type="pct"/>
            <w:tcBorders>
              <w:top w:val="single" w:sz="4" w:space="0" w:color="auto"/>
              <w:left w:val="single" w:sz="4" w:space="0" w:color="auto"/>
              <w:bottom w:val="single" w:sz="4" w:space="0" w:color="auto"/>
              <w:right w:val="single" w:sz="4" w:space="0" w:color="auto"/>
            </w:tcBorders>
            <w:shd w:val="clear" w:color="auto" w:fill="F9D3D3"/>
          </w:tcPr>
          <w:p w14:paraId="1D80F01F" w14:textId="77777777" w:rsidR="00EB36D4" w:rsidRPr="00C2785B" w:rsidRDefault="00EB36D4" w:rsidP="00DD2542">
            <w:pPr>
              <w:spacing w:after="160" w:line="259" w:lineRule="auto"/>
            </w:pPr>
            <w:r w:rsidRPr="00C2785B">
              <w:t>Community Wellbeing</w:t>
            </w:r>
          </w:p>
        </w:tc>
        <w:tc>
          <w:tcPr>
            <w:tcW w:w="176" w:type="pct"/>
            <w:tcBorders>
              <w:top w:val="single" w:sz="4" w:space="0" w:color="auto"/>
              <w:left w:val="single" w:sz="4" w:space="0" w:color="auto"/>
              <w:bottom w:val="single" w:sz="4" w:space="0" w:color="auto"/>
              <w:right w:val="single" w:sz="4" w:space="0" w:color="auto"/>
            </w:tcBorders>
            <w:shd w:val="clear" w:color="auto" w:fill="FFFFFF" w:themeFill="background1"/>
          </w:tcPr>
          <w:p w14:paraId="768886C9" w14:textId="77777777" w:rsidR="00EB36D4" w:rsidRPr="00C2785B" w:rsidRDefault="00EB36D4" w:rsidP="00DD2542">
            <w:pPr>
              <w:spacing w:after="160" w:line="259" w:lineRule="auto"/>
            </w:pPr>
            <w:r w:rsidRPr="00C2785B">
              <w:t>X</w:t>
            </w: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tcPr>
          <w:p w14:paraId="6EA7CFB1" w14:textId="77777777" w:rsidR="00EB36D4" w:rsidRPr="00C2785B" w:rsidRDefault="00EB36D4" w:rsidP="00DD2542">
            <w:pPr>
              <w:spacing w:after="160" w:line="259" w:lineRule="auto"/>
            </w:pPr>
            <w:r w:rsidRPr="00C2785B">
              <w:t>X</w:t>
            </w: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tcPr>
          <w:p w14:paraId="36D7B11D" w14:textId="77777777" w:rsidR="00EB36D4" w:rsidRPr="00C2785B" w:rsidRDefault="00EB36D4" w:rsidP="00DD2542">
            <w:pPr>
              <w:spacing w:after="160" w:line="259" w:lineRule="auto"/>
            </w:pPr>
            <w:r w:rsidRPr="00C2785B">
              <w:t>X</w:t>
            </w: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14:paraId="0BB26A19" w14:textId="77777777" w:rsidR="00EB36D4" w:rsidRPr="00C2785B" w:rsidRDefault="00EB36D4" w:rsidP="00DD2542">
            <w:pPr>
              <w:spacing w:after="160" w:line="259" w:lineRule="auto"/>
            </w:pPr>
            <w:r w:rsidRPr="00C2785B">
              <w:t>X</w:t>
            </w:r>
          </w:p>
        </w:tc>
        <w:tc>
          <w:tcPr>
            <w:tcW w:w="806" w:type="pct"/>
            <w:tcBorders>
              <w:top w:val="single" w:sz="4" w:space="0" w:color="auto"/>
              <w:left w:val="single" w:sz="4" w:space="0" w:color="auto"/>
              <w:bottom w:val="single" w:sz="4" w:space="0" w:color="auto"/>
              <w:right w:val="single" w:sz="4" w:space="0" w:color="auto"/>
            </w:tcBorders>
            <w:shd w:val="clear" w:color="auto" w:fill="F9D3D3"/>
          </w:tcPr>
          <w:p w14:paraId="569CFC46" w14:textId="2686E047" w:rsidR="00EB36D4" w:rsidRPr="00C2785B" w:rsidRDefault="00EB36D4" w:rsidP="00DD2542">
            <w:pPr>
              <w:spacing w:after="160" w:line="259" w:lineRule="auto"/>
            </w:pPr>
            <w:r w:rsidRPr="00EB36D4">
              <w:t>Existing staff and unit budget</w:t>
            </w:r>
          </w:p>
        </w:tc>
      </w:tr>
      <w:tr w:rsidR="00EB36D4" w:rsidRPr="00FA5C60" w14:paraId="0EBE4515" w14:textId="77777777" w:rsidTr="00AE743E">
        <w:trPr>
          <w:trHeight w:val="528"/>
        </w:trPr>
        <w:tc>
          <w:tcPr>
            <w:tcW w:w="889" w:type="pct"/>
            <w:vMerge/>
            <w:tcBorders>
              <w:left w:val="single" w:sz="4" w:space="0" w:color="auto"/>
              <w:right w:val="single" w:sz="4" w:space="0" w:color="auto"/>
            </w:tcBorders>
            <w:shd w:val="clear" w:color="auto" w:fill="F9D3D3"/>
          </w:tcPr>
          <w:p w14:paraId="40789669" w14:textId="77777777" w:rsidR="00EB36D4" w:rsidRPr="00FA5C60" w:rsidRDefault="00EB36D4" w:rsidP="00DD2542">
            <w:pPr>
              <w:spacing w:line="259" w:lineRule="auto"/>
              <w:rPr>
                <w:b/>
                <w:bCs/>
              </w:rPr>
            </w:pPr>
          </w:p>
        </w:tc>
        <w:tc>
          <w:tcPr>
            <w:tcW w:w="1944" w:type="pct"/>
            <w:tcBorders>
              <w:top w:val="single" w:sz="4" w:space="0" w:color="auto"/>
              <w:left w:val="single" w:sz="4" w:space="0" w:color="auto"/>
              <w:bottom w:val="single" w:sz="4" w:space="0" w:color="auto"/>
              <w:right w:val="single" w:sz="4" w:space="0" w:color="auto"/>
            </w:tcBorders>
            <w:shd w:val="clear" w:color="auto" w:fill="F0D5D9" w:themeFill="accent3" w:themeFillTint="33"/>
          </w:tcPr>
          <w:p w14:paraId="4226AA37" w14:textId="77777777" w:rsidR="00EB36D4" w:rsidRDefault="00EB36D4" w:rsidP="00EB36D4">
            <w:pPr>
              <w:spacing w:after="160" w:line="259" w:lineRule="auto"/>
            </w:pPr>
            <w:r>
              <w:t>Convene Moreland Family Violence Network</w:t>
            </w:r>
          </w:p>
          <w:p w14:paraId="639350AD" w14:textId="77777777" w:rsidR="00F415D4" w:rsidRDefault="00F415D4" w:rsidP="00EB36D4">
            <w:pPr>
              <w:spacing w:after="160" w:line="259" w:lineRule="auto"/>
            </w:pPr>
          </w:p>
          <w:p w14:paraId="6D2F19D3" w14:textId="605CCF8D" w:rsidR="00F415D4" w:rsidRPr="00C2785B" w:rsidRDefault="00F415D4" w:rsidP="00AE743E">
            <w:pPr>
              <w:spacing w:after="160" w:line="259" w:lineRule="auto"/>
            </w:pPr>
          </w:p>
        </w:tc>
        <w:tc>
          <w:tcPr>
            <w:tcW w:w="742" w:type="pct"/>
            <w:tcBorders>
              <w:top w:val="single" w:sz="4" w:space="0" w:color="auto"/>
              <w:left w:val="single" w:sz="4" w:space="0" w:color="auto"/>
              <w:bottom w:val="single" w:sz="4" w:space="0" w:color="auto"/>
              <w:right w:val="single" w:sz="4" w:space="0" w:color="auto"/>
            </w:tcBorders>
            <w:shd w:val="clear" w:color="auto" w:fill="F9D3D3"/>
          </w:tcPr>
          <w:p w14:paraId="42FEB222" w14:textId="2868585B" w:rsidR="00EB36D4" w:rsidRPr="00C2785B" w:rsidRDefault="00EB36D4" w:rsidP="00AE743E">
            <w:pPr>
              <w:spacing w:after="160" w:line="259" w:lineRule="auto"/>
            </w:pPr>
            <w:r>
              <w:t>Community Wellbeing</w:t>
            </w:r>
          </w:p>
        </w:tc>
        <w:tc>
          <w:tcPr>
            <w:tcW w:w="176" w:type="pct"/>
            <w:tcBorders>
              <w:top w:val="single" w:sz="4" w:space="0" w:color="auto"/>
              <w:left w:val="single" w:sz="4" w:space="0" w:color="auto"/>
              <w:bottom w:val="single" w:sz="4" w:space="0" w:color="auto"/>
              <w:right w:val="single" w:sz="4" w:space="0" w:color="auto"/>
            </w:tcBorders>
            <w:shd w:val="clear" w:color="auto" w:fill="FFFFFF" w:themeFill="background1"/>
          </w:tcPr>
          <w:p w14:paraId="40048D35" w14:textId="480AB6BD" w:rsidR="00EB36D4" w:rsidRPr="00C2785B" w:rsidRDefault="00EB36D4" w:rsidP="00AE743E">
            <w:pPr>
              <w:spacing w:after="160" w:line="259" w:lineRule="auto"/>
            </w:pPr>
            <w:r>
              <w:t>X</w:t>
            </w: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tcPr>
          <w:p w14:paraId="09A9EF57" w14:textId="5E115297" w:rsidR="00EB36D4" w:rsidRPr="00C2785B" w:rsidRDefault="00EB36D4" w:rsidP="00AE743E">
            <w:pPr>
              <w:spacing w:after="160" w:line="259" w:lineRule="auto"/>
            </w:pPr>
            <w:r>
              <w:t>X</w:t>
            </w: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tcPr>
          <w:p w14:paraId="574FA236" w14:textId="599A5434" w:rsidR="00EB36D4" w:rsidRPr="00C2785B" w:rsidRDefault="00EB36D4" w:rsidP="00AE743E">
            <w:pPr>
              <w:spacing w:after="160" w:line="259" w:lineRule="auto"/>
            </w:pPr>
            <w:r>
              <w:t>X</w:t>
            </w: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14:paraId="250EE801" w14:textId="109D3792" w:rsidR="00EB36D4" w:rsidRPr="00C2785B" w:rsidRDefault="00EB36D4" w:rsidP="00AE743E">
            <w:pPr>
              <w:spacing w:after="160" w:line="259" w:lineRule="auto"/>
            </w:pPr>
            <w:r>
              <w:t>X</w:t>
            </w:r>
          </w:p>
        </w:tc>
        <w:tc>
          <w:tcPr>
            <w:tcW w:w="806" w:type="pct"/>
            <w:tcBorders>
              <w:top w:val="single" w:sz="4" w:space="0" w:color="auto"/>
              <w:left w:val="single" w:sz="4" w:space="0" w:color="auto"/>
              <w:bottom w:val="single" w:sz="4" w:space="0" w:color="auto"/>
              <w:right w:val="single" w:sz="4" w:space="0" w:color="auto"/>
            </w:tcBorders>
            <w:shd w:val="clear" w:color="auto" w:fill="F9D3D3"/>
          </w:tcPr>
          <w:p w14:paraId="47E747E7" w14:textId="77777777" w:rsidR="00EB36D4" w:rsidRPr="00C2785B" w:rsidRDefault="00EB36D4" w:rsidP="00AE743E">
            <w:pPr>
              <w:spacing w:after="160" w:line="259" w:lineRule="auto"/>
            </w:pPr>
          </w:p>
        </w:tc>
      </w:tr>
      <w:tr w:rsidR="00DD2542" w:rsidRPr="00FA5C60" w14:paraId="12B82633" w14:textId="77777777" w:rsidTr="00AE743E">
        <w:trPr>
          <w:cantSplit/>
          <w:trHeight w:val="557"/>
        </w:trPr>
        <w:tc>
          <w:tcPr>
            <w:tcW w:w="889" w:type="pct"/>
            <w:vMerge w:val="restart"/>
            <w:tcBorders>
              <w:top w:val="single" w:sz="4" w:space="0" w:color="auto"/>
              <w:left w:val="single" w:sz="4" w:space="0" w:color="auto"/>
              <w:right w:val="single" w:sz="4" w:space="0" w:color="auto"/>
            </w:tcBorders>
            <w:shd w:val="clear" w:color="auto" w:fill="F9D3D3"/>
          </w:tcPr>
          <w:p w14:paraId="57A3BEE3" w14:textId="77777777" w:rsidR="00DD2542" w:rsidRPr="00FA5C60" w:rsidRDefault="00DD2542" w:rsidP="00DD2542">
            <w:pPr>
              <w:spacing w:after="160" w:line="259" w:lineRule="auto"/>
              <w:rPr>
                <w:b/>
                <w:bCs/>
              </w:rPr>
            </w:pPr>
            <w:r w:rsidRPr="00FA5C60">
              <w:rPr>
                <w:b/>
                <w:bCs/>
              </w:rPr>
              <w:t xml:space="preserve">4.3 Build internal capacity across council units to respond to rough sleepers in a manner that is consistent with respecting their human rights </w:t>
            </w:r>
          </w:p>
        </w:tc>
        <w:tc>
          <w:tcPr>
            <w:tcW w:w="1944" w:type="pct"/>
            <w:tcBorders>
              <w:top w:val="single" w:sz="4" w:space="0" w:color="auto"/>
              <w:left w:val="single" w:sz="4" w:space="0" w:color="auto"/>
              <w:bottom w:val="single" w:sz="4" w:space="0" w:color="auto"/>
              <w:right w:val="single" w:sz="4" w:space="0" w:color="auto"/>
            </w:tcBorders>
            <w:shd w:val="clear" w:color="auto" w:fill="F9D3D3"/>
          </w:tcPr>
          <w:p w14:paraId="3FDEFF47" w14:textId="3C23850A" w:rsidR="00DD2542" w:rsidRPr="00C2785B" w:rsidRDefault="00861014" w:rsidP="00DD2542">
            <w:pPr>
              <w:spacing w:after="160" w:line="259" w:lineRule="auto"/>
            </w:pPr>
            <w:r>
              <w:t>Final</w:t>
            </w:r>
            <w:r w:rsidR="00D11A05">
              <w:t xml:space="preserve">ise </w:t>
            </w:r>
            <w:r w:rsidR="00DD2542">
              <w:t xml:space="preserve">internal guidance document </w:t>
            </w:r>
          </w:p>
        </w:tc>
        <w:tc>
          <w:tcPr>
            <w:tcW w:w="742" w:type="pct"/>
            <w:tcBorders>
              <w:top w:val="single" w:sz="4" w:space="0" w:color="auto"/>
              <w:left w:val="single" w:sz="4" w:space="0" w:color="auto"/>
              <w:bottom w:val="single" w:sz="4" w:space="0" w:color="auto"/>
              <w:right w:val="single" w:sz="4" w:space="0" w:color="auto"/>
            </w:tcBorders>
            <w:shd w:val="clear" w:color="auto" w:fill="F9D3D3"/>
          </w:tcPr>
          <w:p w14:paraId="68F42773" w14:textId="77777777" w:rsidR="00DD2542" w:rsidRPr="00C2785B" w:rsidRDefault="00DD2542" w:rsidP="00DD2542">
            <w:pPr>
              <w:spacing w:after="160" w:line="259" w:lineRule="auto"/>
            </w:pPr>
            <w:r w:rsidRPr="00C2785B">
              <w:t>Community Wellbeing</w:t>
            </w:r>
          </w:p>
        </w:tc>
        <w:tc>
          <w:tcPr>
            <w:tcW w:w="176" w:type="pct"/>
            <w:tcBorders>
              <w:top w:val="single" w:sz="4" w:space="0" w:color="auto"/>
              <w:left w:val="single" w:sz="4" w:space="0" w:color="auto"/>
              <w:bottom w:val="single" w:sz="4" w:space="0" w:color="auto"/>
              <w:right w:val="single" w:sz="4" w:space="0" w:color="auto"/>
            </w:tcBorders>
            <w:shd w:val="clear" w:color="auto" w:fill="FFFFFF" w:themeFill="background1"/>
          </w:tcPr>
          <w:p w14:paraId="799A4CC0" w14:textId="77777777" w:rsidR="00DD2542" w:rsidRPr="00C2785B" w:rsidRDefault="00DD2542" w:rsidP="00DD2542">
            <w:pPr>
              <w:spacing w:after="160" w:line="259" w:lineRule="auto"/>
            </w:pPr>
            <w:r w:rsidRPr="00C2785B">
              <w:t>X</w:t>
            </w: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tcPr>
          <w:p w14:paraId="2F7F6A1F" w14:textId="77777777" w:rsidR="00DD2542" w:rsidRPr="00C2785B" w:rsidRDefault="00DD2542" w:rsidP="00DD2542">
            <w:pPr>
              <w:spacing w:after="160" w:line="259" w:lineRule="auto"/>
            </w:pP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tcPr>
          <w:p w14:paraId="4616F137" w14:textId="77777777" w:rsidR="00DD2542" w:rsidRPr="00C2785B" w:rsidRDefault="00DD2542" w:rsidP="00DD2542">
            <w:pPr>
              <w:spacing w:after="160" w:line="259" w:lineRule="auto"/>
            </w:pP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14:paraId="7930AF88" w14:textId="77777777" w:rsidR="00DD2542" w:rsidRPr="00C2785B" w:rsidRDefault="00DD2542" w:rsidP="00DD2542">
            <w:pPr>
              <w:spacing w:after="160" w:line="259" w:lineRule="auto"/>
            </w:pPr>
          </w:p>
        </w:tc>
        <w:tc>
          <w:tcPr>
            <w:tcW w:w="806" w:type="pct"/>
            <w:tcBorders>
              <w:top w:val="single" w:sz="4" w:space="0" w:color="auto"/>
              <w:left w:val="single" w:sz="4" w:space="0" w:color="auto"/>
              <w:bottom w:val="single" w:sz="4" w:space="0" w:color="auto"/>
              <w:right w:val="single" w:sz="4" w:space="0" w:color="auto"/>
            </w:tcBorders>
            <w:shd w:val="clear" w:color="auto" w:fill="F9D3D3"/>
          </w:tcPr>
          <w:p w14:paraId="5BCAEB77" w14:textId="1F56D5FE" w:rsidR="00DD2542" w:rsidRPr="00C2785B" w:rsidRDefault="00EB36D4" w:rsidP="00DD2542">
            <w:pPr>
              <w:spacing w:after="160" w:line="259" w:lineRule="auto"/>
            </w:pPr>
            <w:r w:rsidRPr="00EB36D4">
              <w:t>Existing staff and unit budget</w:t>
            </w:r>
          </w:p>
        </w:tc>
      </w:tr>
      <w:tr w:rsidR="00DD2542" w:rsidRPr="00FA5C60" w14:paraId="6FE19A5B" w14:textId="77777777" w:rsidTr="00AE743E">
        <w:trPr>
          <w:trHeight w:val="608"/>
        </w:trPr>
        <w:tc>
          <w:tcPr>
            <w:tcW w:w="889" w:type="pct"/>
            <w:vMerge/>
            <w:tcBorders>
              <w:left w:val="single" w:sz="4" w:space="0" w:color="auto"/>
              <w:right w:val="single" w:sz="4" w:space="0" w:color="auto"/>
            </w:tcBorders>
          </w:tcPr>
          <w:p w14:paraId="3D9E3092" w14:textId="77777777" w:rsidR="00DD2542" w:rsidRPr="00FA5C60" w:rsidRDefault="00DD2542" w:rsidP="00DD2542">
            <w:pPr>
              <w:spacing w:after="160" w:line="259" w:lineRule="auto"/>
              <w:rPr>
                <w:b/>
                <w:bCs/>
              </w:rPr>
            </w:pPr>
          </w:p>
        </w:tc>
        <w:tc>
          <w:tcPr>
            <w:tcW w:w="1944" w:type="pct"/>
            <w:tcBorders>
              <w:top w:val="single" w:sz="4" w:space="0" w:color="auto"/>
              <w:left w:val="single" w:sz="4" w:space="0" w:color="auto"/>
              <w:bottom w:val="single" w:sz="4" w:space="0" w:color="auto"/>
              <w:right w:val="single" w:sz="4" w:space="0" w:color="auto"/>
            </w:tcBorders>
            <w:shd w:val="clear" w:color="auto" w:fill="F9D3D3"/>
          </w:tcPr>
          <w:p w14:paraId="78BA13CC" w14:textId="66204FBB" w:rsidR="00DD2542" w:rsidRPr="00C2785B" w:rsidRDefault="00DD2542" w:rsidP="00DD2542">
            <w:pPr>
              <w:spacing w:after="160" w:line="259" w:lineRule="auto"/>
            </w:pPr>
            <w:r w:rsidRPr="00C2785B">
              <w:t xml:space="preserve">Implement </w:t>
            </w:r>
            <w:r w:rsidR="00E345E3">
              <w:t>internal guidance document</w:t>
            </w:r>
            <w:r w:rsidR="00861014">
              <w:t xml:space="preserve"> in partnership with relevant Council business units</w:t>
            </w:r>
          </w:p>
        </w:tc>
        <w:tc>
          <w:tcPr>
            <w:tcW w:w="742" w:type="pct"/>
            <w:tcBorders>
              <w:top w:val="single" w:sz="4" w:space="0" w:color="auto"/>
              <w:left w:val="single" w:sz="4" w:space="0" w:color="auto"/>
              <w:bottom w:val="single" w:sz="4" w:space="0" w:color="auto"/>
              <w:right w:val="single" w:sz="4" w:space="0" w:color="auto"/>
            </w:tcBorders>
            <w:shd w:val="clear" w:color="auto" w:fill="F9D3D3"/>
          </w:tcPr>
          <w:p w14:paraId="1596733F" w14:textId="77777777" w:rsidR="00DD2542" w:rsidRPr="00C2785B" w:rsidRDefault="00DD2542" w:rsidP="00DD2542">
            <w:pPr>
              <w:spacing w:after="160" w:line="259" w:lineRule="auto"/>
            </w:pPr>
            <w:r w:rsidRPr="00C2785B">
              <w:t>Community Wellbeing</w:t>
            </w:r>
          </w:p>
        </w:tc>
        <w:tc>
          <w:tcPr>
            <w:tcW w:w="176" w:type="pct"/>
            <w:tcBorders>
              <w:top w:val="single" w:sz="4" w:space="0" w:color="auto"/>
              <w:left w:val="single" w:sz="4" w:space="0" w:color="auto"/>
              <w:bottom w:val="single" w:sz="4" w:space="0" w:color="auto"/>
              <w:right w:val="single" w:sz="4" w:space="0" w:color="auto"/>
            </w:tcBorders>
            <w:shd w:val="clear" w:color="auto" w:fill="FFFFFF" w:themeFill="background1"/>
          </w:tcPr>
          <w:p w14:paraId="47CFEE5C" w14:textId="77777777" w:rsidR="00DD2542" w:rsidRPr="00C2785B" w:rsidRDefault="00DD2542" w:rsidP="00DD2542">
            <w:pPr>
              <w:spacing w:after="160" w:line="259" w:lineRule="auto"/>
            </w:pPr>
            <w:r w:rsidRPr="00C2785B">
              <w:t>X</w:t>
            </w: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tcPr>
          <w:p w14:paraId="0EF81B4A" w14:textId="77777777" w:rsidR="00DD2542" w:rsidRPr="00C2785B" w:rsidRDefault="00DD2542" w:rsidP="00DD2542">
            <w:pPr>
              <w:spacing w:after="160" w:line="259" w:lineRule="auto"/>
            </w:pPr>
            <w:r w:rsidRPr="00C2785B">
              <w:t>X</w:t>
            </w:r>
          </w:p>
        </w:tc>
        <w:tc>
          <w:tcPr>
            <w:tcW w:w="139" w:type="pct"/>
            <w:tcBorders>
              <w:top w:val="single" w:sz="4" w:space="0" w:color="auto"/>
              <w:left w:val="single" w:sz="4" w:space="0" w:color="auto"/>
              <w:bottom w:val="single" w:sz="4" w:space="0" w:color="auto"/>
              <w:right w:val="single" w:sz="4" w:space="0" w:color="auto"/>
            </w:tcBorders>
            <w:shd w:val="clear" w:color="auto" w:fill="FFFFFF" w:themeFill="background1"/>
          </w:tcPr>
          <w:p w14:paraId="5F3B8D85" w14:textId="77777777" w:rsidR="00DD2542" w:rsidRPr="00C2785B" w:rsidRDefault="00DD2542" w:rsidP="00DD2542">
            <w:pPr>
              <w:spacing w:after="160" w:line="259" w:lineRule="auto"/>
            </w:pPr>
            <w:r w:rsidRPr="00C2785B">
              <w:t>X</w:t>
            </w:r>
          </w:p>
        </w:tc>
        <w:tc>
          <w:tcPr>
            <w:tcW w:w="165" w:type="pct"/>
            <w:tcBorders>
              <w:top w:val="single" w:sz="4" w:space="0" w:color="auto"/>
              <w:left w:val="single" w:sz="4" w:space="0" w:color="auto"/>
              <w:bottom w:val="single" w:sz="4" w:space="0" w:color="auto"/>
              <w:right w:val="single" w:sz="4" w:space="0" w:color="auto"/>
            </w:tcBorders>
            <w:shd w:val="clear" w:color="auto" w:fill="FFFFFF" w:themeFill="background1"/>
          </w:tcPr>
          <w:p w14:paraId="0AB10488" w14:textId="79400758" w:rsidR="00DD2542" w:rsidRPr="00C2785B" w:rsidRDefault="007D10D9" w:rsidP="00DD2542">
            <w:pPr>
              <w:spacing w:after="160" w:line="259" w:lineRule="auto"/>
            </w:pPr>
            <w:r>
              <w:t>X</w:t>
            </w:r>
          </w:p>
        </w:tc>
        <w:tc>
          <w:tcPr>
            <w:tcW w:w="806" w:type="pct"/>
            <w:tcBorders>
              <w:top w:val="single" w:sz="4" w:space="0" w:color="auto"/>
              <w:left w:val="single" w:sz="4" w:space="0" w:color="auto"/>
              <w:bottom w:val="single" w:sz="4" w:space="0" w:color="auto"/>
              <w:right w:val="single" w:sz="4" w:space="0" w:color="auto"/>
            </w:tcBorders>
            <w:shd w:val="clear" w:color="auto" w:fill="F9D3D3"/>
          </w:tcPr>
          <w:p w14:paraId="44078762" w14:textId="615C2EB7" w:rsidR="00DD2542" w:rsidRPr="00C2785B" w:rsidRDefault="00EB36D4" w:rsidP="00DD2542">
            <w:pPr>
              <w:spacing w:after="160" w:line="259" w:lineRule="auto"/>
            </w:pPr>
            <w:r w:rsidRPr="00EB36D4">
              <w:t>Existing staff and unit budget</w:t>
            </w:r>
          </w:p>
        </w:tc>
      </w:tr>
    </w:tbl>
    <w:p w14:paraId="596900B3" w14:textId="2C4CAE71" w:rsidR="00DE60C1" w:rsidRDefault="00DE60C1" w:rsidP="00F074D0">
      <w:pPr>
        <w:pStyle w:val="NoSpacing"/>
      </w:pPr>
    </w:p>
    <w:p w14:paraId="1BB410FA" w14:textId="77777777" w:rsidR="008D7958" w:rsidRDefault="008D7958" w:rsidP="00B65F53">
      <w:pPr>
        <w:rPr>
          <w:b/>
          <w:bCs/>
        </w:rPr>
        <w:sectPr w:rsidR="008D7958" w:rsidSect="00BB3DBD">
          <w:pgSz w:w="16838" w:h="11906" w:orient="landscape" w:code="9"/>
          <w:pgMar w:top="1560" w:right="1440" w:bottom="1440" w:left="1440" w:header="709" w:footer="709" w:gutter="0"/>
          <w:cols w:space="720"/>
        </w:sectPr>
      </w:pPr>
    </w:p>
    <w:p w14:paraId="095DFC78" w14:textId="77777777" w:rsidR="00DE60C1" w:rsidRDefault="00DE60C1" w:rsidP="00DE60C1">
      <w:pPr>
        <w:pStyle w:val="NoSpacing"/>
      </w:pPr>
    </w:p>
    <w:p w14:paraId="75AB2D6E" w14:textId="5413351A" w:rsidR="00DE60C1" w:rsidRDefault="00E96D1A" w:rsidP="00FF569F">
      <w:pPr>
        <w:pStyle w:val="Heading1"/>
      </w:pPr>
      <w:bookmarkStart w:id="14" w:name="_Toc183183459"/>
      <w:r>
        <w:t xml:space="preserve">7. </w:t>
      </w:r>
      <w:r w:rsidR="00DE60C1">
        <w:t xml:space="preserve">Monitoring, Evaluating and </w:t>
      </w:r>
      <w:r w:rsidR="00072D41">
        <w:t>R</w:t>
      </w:r>
      <w:r w:rsidR="00DE60C1">
        <w:t>eview</w:t>
      </w:r>
      <w:bookmarkEnd w:id="14"/>
    </w:p>
    <w:p w14:paraId="0500AF41" w14:textId="723FFC04" w:rsidR="00B65F53" w:rsidRPr="00AC413E" w:rsidRDefault="00B65F53" w:rsidP="00B65F53">
      <w:pPr>
        <w:rPr>
          <w:b/>
          <w:bCs/>
        </w:rPr>
      </w:pPr>
      <w:r w:rsidRPr="00AC413E">
        <w:rPr>
          <w:b/>
          <w:bCs/>
        </w:rPr>
        <w:t>Monitoring and Evaluation</w:t>
      </w:r>
    </w:p>
    <w:p w14:paraId="3DDF6A2E" w14:textId="2878FA39" w:rsidR="00820092" w:rsidRDefault="00B65F53">
      <w:r w:rsidRPr="00AC413E">
        <w:t>Monitoring and evaluation of the Plan is an important part of understanding its impact and how it is tracking towards its intended outcomes. A monitoring and evaluation framework will support this and include a range of measures and reporting timeframes. The Plan will be guided by an internal Project Board</w:t>
      </w:r>
      <w:r w:rsidR="0064468A">
        <w:t>/</w:t>
      </w:r>
      <w:r w:rsidR="000F0348">
        <w:t xml:space="preserve">working group </w:t>
      </w:r>
      <w:r w:rsidRPr="00AC413E">
        <w:t>with management representation from the key delivery units. The Affordable Housing Reference Group which includes community members and representatives f</w:t>
      </w:r>
      <w:r w:rsidR="0072663B">
        <w:t>rom</w:t>
      </w:r>
      <w:r w:rsidRPr="00AC413E">
        <w:t xml:space="preserve"> housing organisations, will be a key forum for external feedback on the progress of the plan</w:t>
      </w:r>
      <w:r w:rsidR="00E22665">
        <w:t xml:space="preserve"> and update</w:t>
      </w:r>
      <w:r w:rsidR="00741857">
        <w:t>s</w:t>
      </w:r>
      <w:r w:rsidR="00E22665">
        <w:t xml:space="preserve"> to Council</w:t>
      </w:r>
      <w:r w:rsidR="002D6B7F">
        <w:t>.</w:t>
      </w:r>
    </w:p>
    <w:p w14:paraId="6AAADF40" w14:textId="77777777" w:rsidR="00B71E44" w:rsidRDefault="00B71E44"/>
    <w:p w14:paraId="6F90E824" w14:textId="77777777" w:rsidR="00B71E44" w:rsidRDefault="00B71E44"/>
    <w:sectPr w:rsidR="00B71E44" w:rsidSect="00BB3DBD">
      <w:pgSz w:w="11906" w:h="16838" w:code="9"/>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F5731" w14:textId="77777777" w:rsidR="00FA20CE" w:rsidRDefault="00FA20CE">
      <w:pPr>
        <w:spacing w:after="0" w:line="240" w:lineRule="auto"/>
      </w:pPr>
      <w:r>
        <w:separator/>
      </w:r>
    </w:p>
  </w:endnote>
  <w:endnote w:type="continuationSeparator" w:id="0">
    <w:p w14:paraId="7364A5A1" w14:textId="77777777" w:rsidR="00FA20CE" w:rsidRDefault="00FA2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Light">
    <w:panose1 w:val="00000400000000000000"/>
    <w:charset w:val="4D"/>
    <w:family w:val="auto"/>
    <w:pitch w:val="variable"/>
    <w:sig w:usb0="20000007" w:usb1="00000001" w:usb2="00000000" w:usb3="00000000" w:csb0="00000193" w:csb1="00000000"/>
  </w:font>
  <w:font w:name="Calibri">
    <w:altName w:val="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Galano Grotesque ExtraBold">
    <w:panose1 w:val="00000900000000000000"/>
    <w:charset w:val="00"/>
    <w:family w:val="modern"/>
    <w:notTrueType/>
    <w:pitch w:val="variable"/>
    <w:sig w:usb0="00000007" w:usb1="00000000" w:usb2="00000000" w:usb3="00000000" w:csb0="00000093" w:csb1="00000000"/>
  </w:font>
  <w:font w:name="Arial">
    <w:altName w:val="Arial"/>
    <w:panose1 w:val="020B0604020202020204"/>
    <w:charset w:val="00"/>
    <w:family w:val="swiss"/>
    <w:pitch w:val="variable"/>
    <w:sig w:usb0="E0002EFF" w:usb1="C000785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Nunito Sans SemiBold">
    <w:panose1 w:val="000007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BF92A" w14:textId="77777777" w:rsidR="00923C9C" w:rsidRDefault="00923C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2641104"/>
      <w:docPartObj>
        <w:docPartGallery w:val="Page Numbers (Bottom of Page)"/>
        <w:docPartUnique/>
      </w:docPartObj>
    </w:sdtPr>
    <w:sdtEndPr>
      <w:rPr>
        <w:noProof/>
      </w:rPr>
    </w:sdtEndPr>
    <w:sdtContent>
      <w:p w14:paraId="0A53DC60" w14:textId="747B0ECC" w:rsidR="004F6D3E" w:rsidRDefault="00E8177A" w:rsidP="00E8177A">
        <w:pPr>
          <w:pStyle w:val="Footer"/>
          <w:jc w:val="center"/>
        </w:pPr>
        <w:r>
          <w:t xml:space="preserve">                                                                            </w:t>
        </w:r>
        <w:r w:rsidR="004F6D3E">
          <w:fldChar w:fldCharType="begin"/>
        </w:r>
        <w:r w:rsidR="004F6D3E">
          <w:instrText xml:space="preserve"> PAGE   \* MERGEFORMAT </w:instrText>
        </w:r>
        <w:r w:rsidR="004F6D3E">
          <w:fldChar w:fldCharType="separate"/>
        </w:r>
        <w:r w:rsidR="004F6D3E">
          <w:rPr>
            <w:noProof/>
          </w:rPr>
          <w:t>2</w:t>
        </w:r>
        <w:r w:rsidR="004F6D3E">
          <w:rPr>
            <w:noProof/>
          </w:rPr>
          <w:fldChar w:fldCharType="end"/>
        </w:r>
        <w:r>
          <w:rPr>
            <w:noProof/>
          </w:rPr>
          <w:t xml:space="preserve">    </w:t>
        </w:r>
        <w:r w:rsidR="00C92F3C">
          <w:rPr>
            <w:noProof/>
          </w:rPr>
          <w:t xml:space="preserve">                </w:t>
        </w:r>
        <w:r w:rsidR="00C92F3C" w:rsidRPr="00C92F3C">
          <w:rPr>
            <w:noProof/>
            <w:sz w:val="14"/>
            <w:szCs w:val="14"/>
          </w:rPr>
          <w:t>Merri-bek</w:t>
        </w:r>
        <w:r w:rsidRPr="00C92F3C">
          <w:rPr>
            <w:noProof/>
            <w:sz w:val="14"/>
            <w:szCs w:val="14"/>
          </w:rPr>
          <w:t xml:space="preserve"> </w:t>
        </w:r>
        <w:r w:rsidRPr="00AE743E">
          <w:rPr>
            <w:noProof/>
            <w:sz w:val="14"/>
            <w:szCs w:val="14"/>
          </w:rPr>
          <w:t xml:space="preserve">Affordable Housing Action Plan </w:t>
        </w:r>
        <w:r w:rsidR="000E43C6">
          <w:rPr>
            <w:noProof/>
            <w:sz w:val="14"/>
            <w:szCs w:val="14"/>
          </w:rPr>
          <w:t>202</w:t>
        </w:r>
        <w:r w:rsidR="00BE72D2">
          <w:rPr>
            <w:noProof/>
            <w:sz w:val="14"/>
            <w:szCs w:val="14"/>
          </w:rPr>
          <w:t>5</w:t>
        </w:r>
        <w:r w:rsidR="000E43C6">
          <w:rPr>
            <w:noProof/>
            <w:sz w:val="14"/>
            <w:szCs w:val="14"/>
          </w:rPr>
          <w:t xml:space="preserve"> update</w:t>
        </w:r>
        <w:r w:rsidR="00C92F3C">
          <w:rPr>
            <w:noProof/>
          </w:rPr>
          <w:t xml:space="preserve"> </w:t>
        </w:r>
      </w:p>
    </w:sdtContent>
  </w:sdt>
  <w:p w14:paraId="777F4A4B" w14:textId="77777777" w:rsidR="004F6D3E" w:rsidRDefault="004F6D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9F1B0" w14:textId="77777777" w:rsidR="00923C9C" w:rsidRDefault="00923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C3E0E" w14:textId="77777777" w:rsidR="00FA20CE" w:rsidRDefault="00FA20CE">
      <w:pPr>
        <w:spacing w:after="0" w:line="240" w:lineRule="auto"/>
      </w:pPr>
      <w:r>
        <w:rPr>
          <w:color w:val="000000"/>
        </w:rPr>
        <w:separator/>
      </w:r>
    </w:p>
  </w:footnote>
  <w:footnote w:type="continuationSeparator" w:id="0">
    <w:p w14:paraId="0DF6C235" w14:textId="77777777" w:rsidR="00FA20CE" w:rsidRDefault="00FA20CE">
      <w:pPr>
        <w:spacing w:after="0" w:line="240" w:lineRule="auto"/>
      </w:pPr>
      <w:r>
        <w:continuationSeparator/>
      </w:r>
    </w:p>
  </w:footnote>
  <w:footnote w:id="1">
    <w:p w14:paraId="4A7B9410" w14:textId="045F75B3" w:rsidR="00622597" w:rsidRPr="00A10503" w:rsidRDefault="00622597" w:rsidP="00AE743E">
      <w:pPr>
        <w:spacing w:after="120"/>
        <w:rPr>
          <w:b/>
          <w:bCs/>
          <w:i/>
        </w:rPr>
      </w:pPr>
      <w:r>
        <w:rPr>
          <w:rStyle w:val="FootnoteReference"/>
        </w:rPr>
        <w:footnoteRef/>
      </w:r>
      <w:r>
        <w:t xml:space="preserve"> </w:t>
      </w:r>
      <w:r w:rsidRPr="00AE743E">
        <w:rPr>
          <w:sz w:val="18"/>
          <w:szCs w:val="18"/>
        </w:rPr>
        <w:t>AHURI Brief Understanding the housing continuum (2017)</w:t>
      </w:r>
      <w:r w:rsidRPr="004B7B9E">
        <w:t xml:space="preserve"> </w:t>
      </w:r>
    </w:p>
  </w:footnote>
  <w:footnote w:id="2">
    <w:p w14:paraId="44BF9090" w14:textId="36D91D52" w:rsidR="00E5056F" w:rsidRPr="00FF569F" w:rsidRDefault="00E5056F" w:rsidP="00FF569F">
      <w:pPr>
        <w:rPr>
          <w:i/>
          <w:iCs/>
        </w:rPr>
      </w:pPr>
      <w:r>
        <w:rPr>
          <w:rStyle w:val="FootnoteReference"/>
        </w:rPr>
        <w:footnoteRef/>
      </w:r>
      <w:r w:rsidR="00996328" w:rsidRPr="00AE743E">
        <w:rPr>
          <w:i/>
          <w:iCs/>
          <w:sz w:val="18"/>
          <w:szCs w:val="18"/>
        </w:rPr>
        <w:t>Source: id Consulting, A Home in Moreland</w:t>
      </w:r>
      <w:r w:rsidR="00437180" w:rsidRPr="00AE743E">
        <w:rPr>
          <w:i/>
          <w:iCs/>
          <w:sz w:val="18"/>
          <w:szCs w:val="18"/>
        </w:rPr>
        <w:t xml:space="preserve"> 2018</w:t>
      </w:r>
    </w:p>
  </w:footnote>
  <w:footnote w:id="3">
    <w:p w14:paraId="315E55B3" w14:textId="7742CB12" w:rsidR="00437180" w:rsidRDefault="00437180">
      <w:pPr>
        <w:pStyle w:val="FootnoteText"/>
      </w:pPr>
      <w:r>
        <w:rPr>
          <w:rStyle w:val="FootnoteReference"/>
        </w:rPr>
        <w:footnoteRef/>
      </w:r>
      <w:r>
        <w:t xml:space="preserve"> </w:t>
      </w:r>
      <w:r w:rsidRPr="00AE743E">
        <w:rPr>
          <w:sz w:val="18"/>
          <w:szCs w:val="18"/>
        </w:rPr>
        <w:t xml:space="preserve">Source: SGS Economics and Planning, </w:t>
      </w:r>
      <w:r w:rsidRPr="00AE743E">
        <w:rPr>
          <w:i/>
          <w:iCs/>
          <w:sz w:val="18"/>
          <w:szCs w:val="18"/>
        </w:rPr>
        <w:t>Supplying Homes in Moreland 2019</w:t>
      </w:r>
    </w:p>
  </w:footnote>
  <w:footnote w:id="4">
    <w:p w14:paraId="0C3DC16F" w14:textId="3700859A" w:rsidR="00B45A97" w:rsidRDefault="00B45A97">
      <w:pPr>
        <w:pStyle w:val="FootnoteText"/>
      </w:pPr>
      <w:r>
        <w:rPr>
          <w:rStyle w:val="FootnoteReference"/>
        </w:rPr>
        <w:footnoteRef/>
      </w:r>
      <w:r>
        <w:t xml:space="preserve"> </w:t>
      </w:r>
      <w:r w:rsidRPr="00AE743E">
        <w:rPr>
          <w:sz w:val="18"/>
          <w:szCs w:val="18"/>
        </w:rPr>
        <w:t>Moreland Health and Wellbeing Profile 2020</w:t>
      </w:r>
    </w:p>
  </w:footnote>
  <w:footnote w:id="5">
    <w:p w14:paraId="56A421AF" w14:textId="706ED7D6" w:rsidR="003C6FB8" w:rsidRDefault="003C6FB8">
      <w:pPr>
        <w:pStyle w:val="FootnoteText"/>
      </w:pPr>
      <w:r w:rsidRPr="00AE743E">
        <w:rPr>
          <w:rStyle w:val="FootnoteReference"/>
        </w:rPr>
        <w:footnoteRef/>
      </w:r>
      <w:r w:rsidRPr="00AE743E">
        <w:rPr>
          <w:rStyle w:val="FootnoteReference"/>
        </w:rPr>
        <w:t xml:space="preserve"> </w:t>
      </w:r>
      <w:r w:rsidRPr="00AE743E">
        <w:rPr>
          <w:sz w:val="18"/>
          <w:szCs w:val="18"/>
        </w:rPr>
        <w:t>Australian Institute of Housing and Welfare report, ‘People with Disability in Australia</w:t>
      </w:r>
      <w:r w:rsidR="00030922" w:rsidRPr="00AE743E">
        <w:rPr>
          <w:sz w:val="18"/>
          <w:szCs w:val="18"/>
        </w:rPr>
        <w:t>’</w:t>
      </w:r>
      <w:r w:rsidRPr="00AE743E">
        <w:rPr>
          <w:sz w:val="18"/>
          <w:szCs w:val="18"/>
        </w:rPr>
        <w:t xml:space="preserv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5FE88" w14:textId="77777777" w:rsidR="00923C9C" w:rsidRDefault="00923C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2CDD0" w14:textId="70AC4299" w:rsidR="00AE7841" w:rsidRDefault="003C5FB5" w:rsidP="00FF569F">
    <w:pPr>
      <w:pStyle w:val="Header"/>
      <w:tabs>
        <w:tab w:val="clear" w:pos="4513"/>
        <w:tab w:val="clear" w:pos="9026"/>
        <w:tab w:val="left" w:pos="120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04E23" w14:textId="6D12094B" w:rsidR="00B310C0" w:rsidRDefault="00B310C0" w:rsidP="004F6D3E">
    <w:pPr>
      <w:pStyle w:val="Header"/>
      <w:ind w:left="79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763E08"/>
    <w:multiLevelType w:val="hybridMultilevel"/>
    <w:tmpl w:val="08CC1E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AE7B4C"/>
    <w:multiLevelType w:val="hybridMultilevel"/>
    <w:tmpl w:val="E9C257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D26981"/>
    <w:multiLevelType w:val="hybridMultilevel"/>
    <w:tmpl w:val="A9EAF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953701"/>
    <w:multiLevelType w:val="multilevel"/>
    <w:tmpl w:val="B83A15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0D176A89"/>
    <w:multiLevelType w:val="hybridMultilevel"/>
    <w:tmpl w:val="9C2495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E3F2755"/>
    <w:multiLevelType w:val="hybridMultilevel"/>
    <w:tmpl w:val="98EE48E8"/>
    <w:lvl w:ilvl="0" w:tplc="943C4522">
      <w:start w:val="1"/>
      <w:numFmt w:val="bullet"/>
      <w:lvlText w:val="-"/>
      <w:lvlJc w:val="left"/>
      <w:pPr>
        <w:ind w:left="720" w:hanging="360"/>
      </w:pPr>
      <w:rPr>
        <w:rFonts w:ascii="Nunito Sans Light" w:eastAsia="Calibri" w:hAnsi="Nunito Sans Ligh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E81095"/>
    <w:multiLevelType w:val="hybridMultilevel"/>
    <w:tmpl w:val="AF6C6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CE526F"/>
    <w:multiLevelType w:val="hybridMultilevel"/>
    <w:tmpl w:val="F0B86E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AC77440"/>
    <w:multiLevelType w:val="hybridMultilevel"/>
    <w:tmpl w:val="C924E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692C8B"/>
    <w:multiLevelType w:val="hybridMultilevel"/>
    <w:tmpl w:val="ACE41240"/>
    <w:lvl w:ilvl="0" w:tplc="FC583E2C">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C6F1588"/>
    <w:multiLevelType w:val="hybridMultilevel"/>
    <w:tmpl w:val="F0B86E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653D2"/>
    <w:multiLevelType w:val="multilevel"/>
    <w:tmpl w:val="D6007D72"/>
    <w:styleLink w:val="WWOutlineListStyle"/>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2FEA6880"/>
    <w:multiLevelType w:val="multilevel"/>
    <w:tmpl w:val="77E86E98"/>
    <w:lvl w:ilvl="0">
      <w:start w:val="1"/>
      <w:numFmt w:val="decimal"/>
      <w:lvlText w:val="%1."/>
      <w:lvlJc w:val="left"/>
      <w:pPr>
        <w:ind w:left="360" w:hanging="360"/>
      </w:pPr>
    </w:lvl>
    <w:lvl w:ilvl="1">
      <w:start w:val="1"/>
      <w:numFmt w:val="decimal"/>
      <w:lvlText w:val="%1.%2"/>
      <w:lvlJc w:val="left"/>
      <w:pPr>
        <w:ind w:left="720" w:hanging="720"/>
      </w:pPr>
      <w:rPr>
        <w:i w:val="0"/>
        <w:i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3" w15:restartNumberingAfterBreak="0">
    <w:nsid w:val="31DD2492"/>
    <w:multiLevelType w:val="hybridMultilevel"/>
    <w:tmpl w:val="5588A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A340A1"/>
    <w:multiLevelType w:val="hybridMultilevel"/>
    <w:tmpl w:val="B3428B46"/>
    <w:lvl w:ilvl="0" w:tplc="E208CECA">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666520"/>
    <w:multiLevelType w:val="hybridMultilevel"/>
    <w:tmpl w:val="ECF28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D24438"/>
    <w:multiLevelType w:val="multilevel"/>
    <w:tmpl w:val="AAF646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3A90571E"/>
    <w:multiLevelType w:val="hybridMultilevel"/>
    <w:tmpl w:val="DB2C9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E94B03"/>
    <w:multiLevelType w:val="hybridMultilevel"/>
    <w:tmpl w:val="FE7C84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16C6473"/>
    <w:multiLevelType w:val="hybridMultilevel"/>
    <w:tmpl w:val="67B04B82"/>
    <w:lvl w:ilvl="0" w:tplc="A77CC822">
      <w:start w:val="5"/>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8969F1"/>
    <w:multiLevelType w:val="hybridMultilevel"/>
    <w:tmpl w:val="46CA2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E243FA"/>
    <w:multiLevelType w:val="hybridMultilevel"/>
    <w:tmpl w:val="21B228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9DA38FC"/>
    <w:multiLevelType w:val="hybridMultilevel"/>
    <w:tmpl w:val="7898E620"/>
    <w:lvl w:ilvl="0" w:tplc="D56E5422">
      <w:numFmt w:val="bullet"/>
      <w:lvlText w:val="-"/>
      <w:lvlJc w:val="left"/>
      <w:pPr>
        <w:ind w:left="360" w:hanging="360"/>
      </w:pPr>
      <w:rPr>
        <w:rFonts w:ascii="Calibri Light" w:eastAsiaTheme="minorHAnsi" w:hAnsi="Calibri Light" w:cs="Calibri Light"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BDB3D74"/>
    <w:multiLevelType w:val="hybridMultilevel"/>
    <w:tmpl w:val="8BC0E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602235"/>
    <w:multiLevelType w:val="hybridMultilevel"/>
    <w:tmpl w:val="0C2E8D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D733D62"/>
    <w:multiLevelType w:val="hybridMultilevel"/>
    <w:tmpl w:val="18166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C81DD3"/>
    <w:multiLevelType w:val="hybridMultilevel"/>
    <w:tmpl w:val="B3428B46"/>
    <w:lvl w:ilvl="0" w:tplc="E208CECA">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C6B1534"/>
    <w:multiLevelType w:val="hybridMultilevel"/>
    <w:tmpl w:val="CAD01E06"/>
    <w:lvl w:ilvl="0" w:tplc="0C090001">
      <w:start w:val="1"/>
      <w:numFmt w:val="bullet"/>
      <w:lvlText w:val=""/>
      <w:lvlJc w:val="left"/>
      <w:pPr>
        <w:ind w:left="360" w:hanging="360"/>
      </w:pPr>
      <w:rPr>
        <w:rFonts w:ascii="Symbol" w:hAnsi="Symbol" w:hint="default"/>
      </w:rPr>
    </w:lvl>
    <w:lvl w:ilvl="1" w:tplc="24AE9EAE">
      <w:start w:val="8"/>
      <w:numFmt w:val="bullet"/>
      <w:lvlText w:val="•"/>
      <w:lvlJc w:val="left"/>
      <w:pPr>
        <w:ind w:left="1440" w:hanging="720"/>
      </w:pPr>
      <w:rPr>
        <w:rFonts w:ascii="Nunito Sans Light" w:eastAsiaTheme="minorHAnsi" w:hAnsi="Nunito Sans Light"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CFB3A4D"/>
    <w:multiLevelType w:val="multilevel"/>
    <w:tmpl w:val="C7CEAFD0"/>
    <w:styleLink w:val="WWOutlineListStyle1"/>
    <w:lvl w:ilvl="0">
      <w:start w:val="1"/>
      <w:numFmt w:val="none"/>
      <w:lvlText w:val="%1"/>
      <w:lvlJc w:val="left"/>
    </w:lvl>
    <w:lvl w:ilvl="1">
      <w:start w:val="1"/>
      <w:numFmt w:val="decimal"/>
      <w:lvlText w:val="%1.%2"/>
      <w:lvlJc w:val="left"/>
      <w:pPr>
        <w:ind w:left="576" w:hanging="576"/>
      </w:pPr>
      <w:rPr>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7AC94BCA"/>
    <w:multiLevelType w:val="multilevel"/>
    <w:tmpl w:val="77E86E98"/>
    <w:lvl w:ilvl="0">
      <w:start w:val="1"/>
      <w:numFmt w:val="decimal"/>
      <w:lvlText w:val="%1."/>
      <w:lvlJc w:val="left"/>
      <w:pPr>
        <w:ind w:left="1080" w:hanging="360"/>
      </w:pPr>
    </w:lvl>
    <w:lvl w:ilvl="1">
      <w:start w:val="1"/>
      <w:numFmt w:val="decimal"/>
      <w:lvlText w:val="%1.%2"/>
      <w:lvlJc w:val="left"/>
      <w:pPr>
        <w:ind w:left="1440" w:hanging="720"/>
      </w:pPr>
      <w:rPr>
        <w:i w:val="0"/>
        <w:iCs w:val="0"/>
      </w:r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2160" w:hanging="1440"/>
      </w:pPr>
    </w:lvl>
    <w:lvl w:ilvl="5">
      <w:start w:val="1"/>
      <w:numFmt w:val="decimal"/>
      <w:lvlText w:val="%1.%2.%3.%4.%5.%6"/>
      <w:lvlJc w:val="left"/>
      <w:pPr>
        <w:ind w:left="2520" w:hanging="1800"/>
      </w:pPr>
    </w:lvl>
    <w:lvl w:ilvl="6">
      <w:start w:val="1"/>
      <w:numFmt w:val="decimal"/>
      <w:lvlText w:val="%1.%2.%3.%4.%5.%6.%7"/>
      <w:lvlJc w:val="left"/>
      <w:pPr>
        <w:ind w:left="2520" w:hanging="1800"/>
      </w:pPr>
    </w:lvl>
    <w:lvl w:ilvl="7">
      <w:start w:val="1"/>
      <w:numFmt w:val="decimal"/>
      <w:lvlText w:val="%1.%2.%3.%4.%5.%6.%7.%8"/>
      <w:lvlJc w:val="left"/>
      <w:pPr>
        <w:ind w:left="2880" w:hanging="2160"/>
      </w:pPr>
    </w:lvl>
    <w:lvl w:ilvl="8">
      <w:start w:val="1"/>
      <w:numFmt w:val="decimal"/>
      <w:lvlText w:val="%1.%2.%3.%4.%5.%6.%7.%8.%9"/>
      <w:lvlJc w:val="left"/>
      <w:pPr>
        <w:ind w:left="3240" w:hanging="2520"/>
      </w:pPr>
    </w:lvl>
  </w:abstractNum>
  <w:abstractNum w:abstractNumId="30" w15:restartNumberingAfterBreak="0">
    <w:nsid w:val="7BBD5CBE"/>
    <w:multiLevelType w:val="hybridMultilevel"/>
    <w:tmpl w:val="B3428B46"/>
    <w:lvl w:ilvl="0" w:tplc="E208CECA">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CF75EAA"/>
    <w:multiLevelType w:val="hybridMultilevel"/>
    <w:tmpl w:val="9AA08A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E313E8"/>
    <w:multiLevelType w:val="multilevel"/>
    <w:tmpl w:val="D4845E3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1314404708">
    <w:abstractNumId w:val="28"/>
  </w:num>
  <w:num w:numId="2" w16cid:durableId="343943352">
    <w:abstractNumId w:val="11"/>
  </w:num>
  <w:num w:numId="3" w16cid:durableId="141897986">
    <w:abstractNumId w:val="12"/>
  </w:num>
  <w:num w:numId="4" w16cid:durableId="1455368554">
    <w:abstractNumId w:val="32"/>
  </w:num>
  <w:num w:numId="5" w16cid:durableId="506360290">
    <w:abstractNumId w:val="16"/>
  </w:num>
  <w:num w:numId="6" w16cid:durableId="1474835341">
    <w:abstractNumId w:val="3"/>
  </w:num>
  <w:num w:numId="7" w16cid:durableId="1651253901">
    <w:abstractNumId w:val="10"/>
  </w:num>
  <w:num w:numId="8" w16cid:durableId="336003280">
    <w:abstractNumId w:val="6"/>
  </w:num>
  <w:num w:numId="9" w16cid:durableId="1424180622">
    <w:abstractNumId w:val="31"/>
  </w:num>
  <w:num w:numId="10" w16cid:durableId="562065290">
    <w:abstractNumId w:val="18"/>
  </w:num>
  <w:num w:numId="11" w16cid:durableId="750203433">
    <w:abstractNumId w:val="7"/>
  </w:num>
  <w:num w:numId="12" w16cid:durableId="1779056013">
    <w:abstractNumId w:val="9"/>
  </w:num>
  <w:num w:numId="13" w16cid:durableId="2090226833">
    <w:abstractNumId w:val="30"/>
  </w:num>
  <w:num w:numId="14" w16cid:durableId="557862901">
    <w:abstractNumId w:val="14"/>
  </w:num>
  <w:num w:numId="15" w16cid:durableId="792796512">
    <w:abstractNumId w:val="26"/>
  </w:num>
  <w:num w:numId="16" w16cid:durableId="1596672384">
    <w:abstractNumId w:val="29"/>
  </w:num>
  <w:num w:numId="17" w16cid:durableId="296961295">
    <w:abstractNumId w:val="22"/>
  </w:num>
  <w:num w:numId="18" w16cid:durableId="691227658">
    <w:abstractNumId w:val="20"/>
  </w:num>
  <w:num w:numId="19" w16cid:durableId="72432022">
    <w:abstractNumId w:val="1"/>
  </w:num>
  <w:num w:numId="20" w16cid:durableId="704870076">
    <w:abstractNumId w:val="2"/>
  </w:num>
  <w:num w:numId="21" w16cid:durableId="1625576065">
    <w:abstractNumId w:val="8"/>
  </w:num>
  <w:num w:numId="22" w16cid:durableId="1906404987">
    <w:abstractNumId w:val="13"/>
  </w:num>
  <w:num w:numId="23" w16cid:durableId="1715079776">
    <w:abstractNumId w:val="19"/>
  </w:num>
  <w:num w:numId="24" w16cid:durableId="665787827">
    <w:abstractNumId w:val="17"/>
  </w:num>
  <w:num w:numId="25" w16cid:durableId="397747804">
    <w:abstractNumId w:val="27"/>
  </w:num>
  <w:num w:numId="26" w16cid:durableId="1618416236">
    <w:abstractNumId w:val="24"/>
  </w:num>
  <w:num w:numId="27" w16cid:durableId="1434669520">
    <w:abstractNumId w:val="15"/>
  </w:num>
  <w:num w:numId="28" w16cid:durableId="1591281285">
    <w:abstractNumId w:val="25"/>
  </w:num>
  <w:num w:numId="29" w16cid:durableId="1071150387">
    <w:abstractNumId w:val="23"/>
  </w:num>
  <w:num w:numId="30" w16cid:durableId="146938860">
    <w:abstractNumId w:val="0"/>
  </w:num>
  <w:num w:numId="31" w16cid:durableId="1198546237">
    <w:abstractNumId w:val="4"/>
  </w:num>
  <w:num w:numId="32" w16cid:durableId="298389449">
    <w:abstractNumId w:val="5"/>
  </w:num>
  <w:num w:numId="33" w16cid:durableId="149475746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DE0"/>
    <w:rsid w:val="000003FA"/>
    <w:rsid w:val="00005B0E"/>
    <w:rsid w:val="00006310"/>
    <w:rsid w:val="0000773A"/>
    <w:rsid w:val="00013C0D"/>
    <w:rsid w:val="00013C6F"/>
    <w:rsid w:val="000152BA"/>
    <w:rsid w:val="000165D4"/>
    <w:rsid w:val="00023FF5"/>
    <w:rsid w:val="00025032"/>
    <w:rsid w:val="000274A5"/>
    <w:rsid w:val="00030922"/>
    <w:rsid w:val="00033074"/>
    <w:rsid w:val="000354BC"/>
    <w:rsid w:val="00042D78"/>
    <w:rsid w:val="000438E6"/>
    <w:rsid w:val="00047195"/>
    <w:rsid w:val="00047E5D"/>
    <w:rsid w:val="00054B4F"/>
    <w:rsid w:val="00057E4C"/>
    <w:rsid w:val="000616F6"/>
    <w:rsid w:val="0007077B"/>
    <w:rsid w:val="00072D41"/>
    <w:rsid w:val="00072D60"/>
    <w:rsid w:val="000765F9"/>
    <w:rsid w:val="00077BD3"/>
    <w:rsid w:val="00082774"/>
    <w:rsid w:val="00087C0B"/>
    <w:rsid w:val="0009662B"/>
    <w:rsid w:val="000A66BA"/>
    <w:rsid w:val="000A6CC7"/>
    <w:rsid w:val="000B06F0"/>
    <w:rsid w:val="000B1889"/>
    <w:rsid w:val="000B2442"/>
    <w:rsid w:val="000B40EE"/>
    <w:rsid w:val="000B61E1"/>
    <w:rsid w:val="000B7339"/>
    <w:rsid w:val="000C0704"/>
    <w:rsid w:val="000C2451"/>
    <w:rsid w:val="000C2A4C"/>
    <w:rsid w:val="000D5CF3"/>
    <w:rsid w:val="000E185D"/>
    <w:rsid w:val="000E43C6"/>
    <w:rsid w:val="000E497E"/>
    <w:rsid w:val="000F0348"/>
    <w:rsid w:val="000F38C9"/>
    <w:rsid w:val="000F657B"/>
    <w:rsid w:val="000F7371"/>
    <w:rsid w:val="00105868"/>
    <w:rsid w:val="00120C75"/>
    <w:rsid w:val="00121076"/>
    <w:rsid w:val="001272B4"/>
    <w:rsid w:val="00127979"/>
    <w:rsid w:val="00134B8B"/>
    <w:rsid w:val="00137933"/>
    <w:rsid w:val="00143533"/>
    <w:rsid w:val="00144346"/>
    <w:rsid w:val="00150F47"/>
    <w:rsid w:val="00151BA8"/>
    <w:rsid w:val="00151E32"/>
    <w:rsid w:val="001625F1"/>
    <w:rsid w:val="00176AB3"/>
    <w:rsid w:val="00177032"/>
    <w:rsid w:val="00180052"/>
    <w:rsid w:val="0018291B"/>
    <w:rsid w:val="00190878"/>
    <w:rsid w:val="00192332"/>
    <w:rsid w:val="001A147F"/>
    <w:rsid w:val="001A360F"/>
    <w:rsid w:val="001C4BCD"/>
    <w:rsid w:val="001D12B4"/>
    <w:rsid w:val="001D4753"/>
    <w:rsid w:val="001D7674"/>
    <w:rsid w:val="001E0228"/>
    <w:rsid w:val="001F0657"/>
    <w:rsid w:val="001F0829"/>
    <w:rsid w:val="001F22A3"/>
    <w:rsid w:val="00206892"/>
    <w:rsid w:val="0020742C"/>
    <w:rsid w:val="00212502"/>
    <w:rsid w:val="002219C1"/>
    <w:rsid w:val="00222141"/>
    <w:rsid w:val="00225C50"/>
    <w:rsid w:val="00231B9B"/>
    <w:rsid w:val="00232DAB"/>
    <w:rsid w:val="002364E3"/>
    <w:rsid w:val="00237A23"/>
    <w:rsid w:val="00237AD3"/>
    <w:rsid w:val="00247F0A"/>
    <w:rsid w:val="00253103"/>
    <w:rsid w:val="00261990"/>
    <w:rsid w:val="00263491"/>
    <w:rsid w:val="00264785"/>
    <w:rsid w:val="00267DBF"/>
    <w:rsid w:val="00271286"/>
    <w:rsid w:val="002715BA"/>
    <w:rsid w:val="00272462"/>
    <w:rsid w:val="002743BA"/>
    <w:rsid w:val="00282650"/>
    <w:rsid w:val="00284D4E"/>
    <w:rsid w:val="0028504E"/>
    <w:rsid w:val="002A7A07"/>
    <w:rsid w:val="002B2A36"/>
    <w:rsid w:val="002C699C"/>
    <w:rsid w:val="002D18C5"/>
    <w:rsid w:val="002D6B7F"/>
    <w:rsid w:val="002D6CC7"/>
    <w:rsid w:val="002E0AF7"/>
    <w:rsid w:val="002E199E"/>
    <w:rsid w:val="002E496B"/>
    <w:rsid w:val="002F0E85"/>
    <w:rsid w:val="002F311A"/>
    <w:rsid w:val="002F44B9"/>
    <w:rsid w:val="002F7E3A"/>
    <w:rsid w:val="00301419"/>
    <w:rsid w:val="00302DCF"/>
    <w:rsid w:val="00312711"/>
    <w:rsid w:val="00316DAA"/>
    <w:rsid w:val="00317D54"/>
    <w:rsid w:val="00317E7E"/>
    <w:rsid w:val="00320033"/>
    <w:rsid w:val="00322B42"/>
    <w:rsid w:val="00324383"/>
    <w:rsid w:val="00331004"/>
    <w:rsid w:val="00344477"/>
    <w:rsid w:val="00345B9F"/>
    <w:rsid w:val="00347C87"/>
    <w:rsid w:val="00352CA5"/>
    <w:rsid w:val="0037139B"/>
    <w:rsid w:val="00381C62"/>
    <w:rsid w:val="0038237A"/>
    <w:rsid w:val="00387312"/>
    <w:rsid w:val="00393D82"/>
    <w:rsid w:val="003A0AC6"/>
    <w:rsid w:val="003A1E80"/>
    <w:rsid w:val="003B6600"/>
    <w:rsid w:val="003C00BB"/>
    <w:rsid w:val="003C5FB5"/>
    <w:rsid w:val="003C69B6"/>
    <w:rsid w:val="003C6FB8"/>
    <w:rsid w:val="003D0CF9"/>
    <w:rsid w:val="003E09FA"/>
    <w:rsid w:val="003E2255"/>
    <w:rsid w:val="003E42D0"/>
    <w:rsid w:val="003F4ECF"/>
    <w:rsid w:val="003F6AA2"/>
    <w:rsid w:val="00402C8D"/>
    <w:rsid w:val="00403976"/>
    <w:rsid w:val="004101CC"/>
    <w:rsid w:val="00412D69"/>
    <w:rsid w:val="00416590"/>
    <w:rsid w:val="00416828"/>
    <w:rsid w:val="00422154"/>
    <w:rsid w:val="00425C8C"/>
    <w:rsid w:val="00426DE1"/>
    <w:rsid w:val="00427563"/>
    <w:rsid w:val="00430C8B"/>
    <w:rsid w:val="00437180"/>
    <w:rsid w:val="00443C78"/>
    <w:rsid w:val="00446F4E"/>
    <w:rsid w:val="00452970"/>
    <w:rsid w:val="00452E63"/>
    <w:rsid w:val="00456D6A"/>
    <w:rsid w:val="00461424"/>
    <w:rsid w:val="00461A9E"/>
    <w:rsid w:val="004707DF"/>
    <w:rsid w:val="004731AF"/>
    <w:rsid w:val="0047390E"/>
    <w:rsid w:val="0047512D"/>
    <w:rsid w:val="00475E4C"/>
    <w:rsid w:val="00477570"/>
    <w:rsid w:val="004813B2"/>
    <w:rsid w:val="00484C23"/>
    <w:rsid w:val="00492FE6"/>
    <w:rsid w:val="00493076"/>
    <w:rsid w:val="00494813"/>
    <w:rsid w:val="004A133E"/>
    <w:rsid w:val="004B12A5"/>
    <w:rsid w:val="004B3022"/>
    <w:rsid w:val="004B5E44"/>
    <w:rsid w:val="004D252F"/>
    <w:rsid w:val="004E1F69"/>
    <w:rsid w:val="004E402F"/>
    <w:rsid w:val="004F0998"/>
    <w:rsid w:val="004F3D71"/>
    <w:rsid w:val="004F3D84"/>
    <w:rsid w:val="004F4BAE"/>
    <w:rsid w:val="004F6CEA"/>
    <w:rsid w:val="004F6D3E"/>
    <w:rsid w:val="0050026A"/>
    <w:rsid w:val="00502242"/>
    <w:rsid w:val="00507112"/>
    <w:rsid w:val="00511E56"/>
    <w:rsid w:val="00512D2D"/>
    <w:rsid w:val="0051465F"/>
    <w:rsid w:val="0052403F"/>
    <w:rsid w:val="0052450D"/>
    <w:rsid w:val="00542196"/>
    <w:rsid w:val="00542D0F"/>
    <w:rsid w:val="00543368"/>
    <w:rsid w:val="00551761"/>
    <w:rsid w:val="00555655"/>
    <w:rsid w:val="0056081F"/>
    <w:rsid w:val="00561DC2"/>
    <w:rsid w:val="00562E2C"/>
    <w:rsid w:val="005707F0"/>
    <w:rsid w:val="00572B10"/>
    <w:rsid w:val="00575131"/>
    <w:rsid w:val="00596770"/>
    <w:rsid w:val="005B3530"/>
    <w:rsid w:val="005B5B8B"/>
    <w:rsid w:val="005C2905"/>
    <w:rsid w:val="005C3F1A"/>
    <w:rsid w:val="005D1DFA"/>
    <w:rsid w:val="005D51E3"/>
    <w:rsid w:val="005D7F26"/>
    <w:rsid w:val="005E4228"/>
    <w:rsid w:val="005E73E6"/>
    <w:rsid w:val="005F7B8A"/>
    <w:rsid w:val="006068AF"/>
    <w:rsid w:val="0061425F"/>
    <w:rsid w:val="00622597"/>
    <w:rsid w:val="00627C91"/>
    <w:rsid w:val="00630D7F"/>
    <w:rsid w:val="00631686"/>
    <w:rsid w:val="00637030"/>
    <w:rsid w:val="00637334"/>
    <w:rsid w:val="00637474"/>
    <w:rsid w:val="00641C3E"/>
    <w:rsid w:val="0064465F"/>
    <w:rsid w:val="0064468A"/>
    <w:rsid w:val="0064575E"/>
    <w:rsid w:val="006636DE"/>
    <w:rsid w:val="00663C05"/>
    <w:rsid w:val="00665C95"/>
    <w:rsid w:val="006734AA"/>
    <w:rsid w:val="00683C65"/>
    <w:rsid w:val="00684E8E"/>
    <w:rsid w:val="006863BD"/>
    <w:rsid w:val="006971A7"/>
    <w:rsid w:val="006A05D7"/>
    <w:rsid w:val="006A0937"/>
    <w:rsid w:val="006A2267"/>
    <w:rsid w:val="006B6A32"/>
    <w:rsid w:val="006B77CB"/>
    <w:rsid w:val="006C182F"/>
    <w:rsid w:val="006C2129"/>
    <w:rsid w:val="006C3FA2"/>
    <w:rsid w:val="006C63A1"/>
    <w:rsid w:val="006C63AD"/>
    <w:rsid w:val="006D0091"/>
    <w:rsid w:val="006D47FA"/>
    <w:rsid w:val="006D64E2"/>
    <w:rsid w:val="006E3E29"/>
    <w:rsid w:val="006E5410"/>
    <w:rsid w:val="006E6CF5"/>
    <w:rsid w:val="006E7EC8"/>
    <w:rsid w:val="006F28CF"/>
    <w:rsid w:val="006F6DFB"/>
    <w:rsid w:val="006F78AF"/>
    <w:rsid w:val="0070107F"/>
    <w:rsid w:val="00701D4D"/>
    <w:rsid w:val="00703239"/>
    <w:rsid w:val="00707E8B"/>
    <w:rsid w:val="007108AB"/>
    <w:rsid w:val="00713310"/>
    <w:rsid w:val="0071643E"/>
    <w:rsid w:val="007230F9"/>
    <w:rsid w:val="0072663B"/>
    <w:rsid w:val="00727990"/>
    <w:rsid w:val="00741191"/>
    <w:rsid w:val="00741857"/>
    <w:rsid w:val="007420CA"/>
    <w:rsid w:val="00750C80"/>
    <w:rsid w:val="0075356C"/>
    <w:rsid w:val="007545EF"/>
    <w:rsid w:val="00755FCA"/>
    <w:rsid w:val="00760FDD"/>
    <w:rsid w:val="00763F0B"/>
    <w:rsid w:val="00764A06"/>
    <w:rsid w:val="0076518F"/>
    <w:rsid w:val="00766C30"/>
    <w:rsid w:val="00770392"/>
    <w:rsid w:val="00770E7F"/>
    <w:rsid w:val="007823F7"/>
    <w:rsid w:val="00784A22"/>
    <w:rsid w:val="007867E0"/>
    <w:rsid w:val="00791B3E"/>
    <w:rsid w:val="00791C5C"/>
    <w:rsid w:val="00797568"/>
    <w:rsid w:val="00797686"/>
    <w:rsid w:val="007A2524"/>
    <w:rsid w:val="007B0766"/>
    <w:rsid w:val="007B0848"/>
    <w:rsid w:val="007B343E"/>
    <w:rsid w:val="007B359E"/>
    <w:rsid w:val="007C3961"/>
    <w:rsid w:val="007C4A62"/>
    <w:rsid w:val="007C56F0"/>
    <w:rsid w:val="007D10D9"/>
    <w:rsid w:val="007D5DCF"/>
    <w:rsid w:val="007D7B99"/>
    <w:rsid w:val="007D7C09"/>
    <w:rsid w:val="007E29B4"/>
    <w:rsid w:val="007E2A75"/>
    <w:rsid w:val="007E47A4"/>
    <w:rsid w:val="007E5C33"/>
    <w:rsid w:val="007E61BD"/>
    <w:rsid w:val="007E7FD1"/>
    <w:rsid w:val="007F02D3"/>
    <w:rsid w:val="007F210D"/>
    <w:rsid w:val="007F3032"/>
    <w:rsid w:val="007F332F"/>
    <w:rsid w:val="007F49EE"/>
    <w:rsid w:val="00805BF7"/>
    <w:rsid w:val="00805D6D"/>
    <w:rsid w:val="00812C9F"/>
    <w:rsid w:val="00820092"/>
    <w:rsid w:val="0082357E"/>
    <w:rsid w:val="00826D68"/>
    <w:rsid w:val="00837CF2"/>
    <w:rsid w:val="008409E9"/>
    <w:rsid w:val="00844557"/>
    <w:rsid w:val="00846FFC"/>
    <w:rsid w:val="0085553D"/>
    <w:rsid w:val="00861014"/>
    <w:rsid w:val="00861DA7"/>
    <w:rsid w:val="00867316"/>
    <w:rsid w:val="00872E2B"/>
    <w:rsid w:val="00873D0C"/>
    <w:rsid w:val="008765D2"/>
    <w:rsid w:val="00876696"/>
    <w:rsid w:val="008772D5"/>
    <w:rsid w:val="008800E9"/>
    <w:rsid w:val="00880AD0"/>
    <w:rsid w:val="00880EC9"/>
    <w:rsid w:val="0088160A"/>
    <w:rsid w:val="008817E0"/>
    <w:rsid w:val="00882D7A"/>
    <w:rsid w:val="00885554"/>
    <w:rsid w:val="008858FA"/>
    <w:rsid w:val="00886E20"/>
    <w:rsid w:val="00887A05"/>
    <w:rsid w:val="00891769"/>
    <w:rsid w:val="00895C15"/>
    <w:rsid w:val="00897528"/>
    <w:rsid w:val="008A3A7C"/>
    <w:rsid w:val="008A4926"/>
    <w:rsid w:val="008A5767"/>
    <w:rsid w:val="008B3CD0"/>
    <w:rsid w:val="008B402B"/>
    <w:rsid w:val="008C080F"/>
    <w:rsid w:val="008C1439"/>
    <w:rsid w:val="008C53C1"/>
    <w:rsid w:val="008C5C5D"/>
    <w:rsid w:val="008D3FCB"/>
    <w:rsid w:val="008D467B"/>
    <w:rsid w:val="008D4D7F"/>
    <w:rsid w:val="008D5A4A"/>
    <w:rsid w:val="008D7958"/>
    <w:rsid w:val="008F29D6"/>
    <w:rsid w:val="00907268"/>
    <w:rsid w:val="00912A18"/>
    <w:rsid w:val="009212EF"/>
    <w:rsid w:val="0092282F"/>
    <w:rsid w:val="00923C9C"/>
    <w:rsid w:val="0093238E"/>
    <w:rsid w:val="009334E5"/>
    <w:rsid w:val="009335B0"/>
    <w:rsid w:val="00943D63"/>
    <w:rsid w:val="00945674"/>
    <w:rsid w:val="0095152E"/>
    <w:rsid w:val="00952AAF"/>
    <w:rsid w:val="00960790"/>
    <w:rsid w:val="009609B6"/>
    <w:rsid w:val="00961678"/>
    <w:rsid w:val="00966652"/>
    <w:rsid w:val="009708F5"/>
    <w:rsid w:val="00970EEE"/>
    <w:rsid w:val="00982256"/>
    <w:rsid w:val="00985D27"/>
    <w:rsid w:val="00990FD7"/>
    <w:rsid w:val="009934B6"/>
    <w:rsid w:val="00993B2E"/>
    <w:rsid w:val="00996328"/>
    <w:rsid w:val="00997685"/>
    <w:rsid w:val="009A3883"/>
    <w:rsid w:val="009A412F"/>
    <w:rsid w:val="009A7733"/>
    <w:rsid w:val="009B5B4C"/>
    <w:rsid w:val="009E1CC3"/>
    <w:rsid w:val="00A025A1"/>
    <w:rsid w:val="00A05328"/>
    <w:rsid w:val="00A0545C"/>
    <w:rsid w:val="00A060A5"/>
    <w:rsid w:val="00A10503"/>
    <w:rsid w:val="00A23797"/>
    <w:rsid w:val="00A23974"/>
    <w:rsid w:val="00A24D4C"/>
    <w:rsid w:val="00A3003F"/>
    <w:rsid w:val="00A34176"/>
    <w:rsid w:val="00A35647"/>
    <w:rsid w:val="00A42828"/>
    <w:rsid w:val="00A43CFB"/>
    <w:rsid w:val="00A45C51"/>
    <w:rsid w:val="00A46E87"/>
    <w:rsid w:val="00A50C35"/>
    <w:rsid w:val="00A54879"/>
    <w:rsid w:val="00A61DF0"/>
    <w:rsid w:val="00A626AA"/>
    <w:rsid w:val="00A64C99"/>
    <w:rsid w:val="00A656C8"/>
    <w:rsid w:val="00A72FBE"/>
    <w:rsid w:val="00A74150"/>
    <w:rsid w:val="00A9431A"/>
    <w:rsid w:val="00AA4B9D"/>
    <w:rsid w:val="00AA54C2"/>
    <w:rsid w:val="00AB1E80"/>
    <w:rsid w:val="00AB21EE"/>
    <w:rsid w:val="00AB460C"/>
    <w:rsid w:val="00AC1535"/>
    <w:rsid w:val="00AC1FD2"/>
    <w:rsid w:val="00AC216C"/>
    <w:rsid w:val="00AC34B6"/>
    <w:rsid w:val="00AC7AA6"/>
    <w:rsid w:val="00AD4E70"/>
    <w:rsid w:val="00AD60A4"/>
    <w:rsid w:val="00AD68C0"/>
    <w:rsid w:val="00AD7854"/>
    <w:rsid w:val="00AD7B63"/>
    <w:rsid w:val="00AE0FA2"/>
    <w:rsid w:val="00AE2003"/>
    <w:rsid w:val="00AE2054"/>
    <w:rsid w:val="00AE462A"/>
    <w:rsid w:val="00AE5DC7"/>
    <w:rsid w:val="00AE67CA"/>
    <w:rsid w:val="00AE743E"/>
    <w:rsid w:val="00AE7623"/>
    <w:rsid w:val="00AE7841"/>
    <w:rsid w:val="00AE7C70"/>
    <w:rsid w:val="00AF31D7"/>
    <w:rsid w:val="00B07492"/>
    <w:rsid w:val="00B17924"/>
    <w:rsid w:val="00B23AA8"/>
    <w:rsid w:val="00B310C0"/>
    <w:rsid w:val="00B316EB"/>
    <w:rsid w:val="00B4298C"/>
    <w:rsid w:val="00B42ED5"/>
    <w:rsid w:val="00B45A97"/>
    <w:rsid w:val="00B47C47"/>
    <w:rsid w:val="00B51968"/>
    <w:rsid w:val="00B54DE0"/>
    <w:rsid w:val="00B60670"/>
    <w:rsid w:val="00B62AD1"/>
    <w:rsid w:val="00B63FE4"/>
    <w:rsid w:val="00B6591F"/>
    <w:rsid w:val="00B65F53"/>
    <w:rsid w:val="00B71E44"/>
    <w:rsid w:val="00B73C09"/>
    <w:rsid w:val="00B75430"/>
    <w:rsid w:val="00B85938"/>
    <w:rsid w:val="00B86136"/>
    <w:rsid w:val="00B901F2"/>
    <w:rsid w:val="00B95B6B"/>
    <w:rsid w:val="00BA0242"/>
    <w:rsid w:val="00BB2A6E"/>
    <w:rsid w:val="00BB3DBD"/>
    <w:rsid w:val="00BC57DE"/>
    <w:rsid w:val="00BC7C60"/>
    <w:rsid w:val="00BD1C4A"/>
    <w:rsid w:val="00BE1B10"/>
    <w:rsid w:val="00BE2C93"/>
    <w:rsid w:val="00BE72D2"/>
    <w:rsid w:val="00BF05CF"/>
    <w:rsid w:val="00BF0DB5"/>
    <w:rsid w:val="00BF734D"/>
    <w:rsid w:val="00C0660D"/>
    <w:rsid w:val="00C15BC0"/>
    <w:rsid w:val="00C16C09"/>
    <w:rsid w:val="00C22D72"/>
    <w:rsid w:val="00C25034"/>
    <w:rsid w:val="00C30AD5"/>
    <w:rsid w:val="00C37142"/>
    <w:rsid w:val="00C37F0B"/>
    <w:rsid w:val="00C42879"/>
    <w:rsid w:val="00C44C5A"/>
    <w:rsid w:val="00C507FC"/>
    <w:rsid w:val="00C547B1"/>
    <w:rsid w:val="00C554F5"/>
    <w:rsid w:val="00C56499"/>
    <w:rsid w:val="00C60CCC"/>
    <w:rsid w:val="00C63DC2"/>
    <w:rsid w:val="00C64E31"/>
    <w:rsid w:val="00C6765B"/>
    <w:rsid w:val="00C70177"/>
    <w:rsid w:val="00C76F03"/>
    <w:rsid w:val="00C80779"/>
    <w:rsid w:val="00C87C53"/>
    <w:rsid w:val="00C92F3C"/>
    <w:rsid w:val="00C94732"/>
    <w:rsid w:val="00CA2AA2"/>
    <w:rsid w:val="00CA7E5D"/>
    <w:rsid w:val="00CB2309"/>
    <w:rsid w:val="00CB4BB4"/>
    <w:rsid w:val="00CB779B"/>
    <w:rsid w:val="00CE2209"/>
    <w:rsid w:val="00CE6062"/>
    <w:rsid w:val="00CF2274"/>
    <w:rsid w:val="00CF3666"/>
    <w:rsid w:val="00CF47DF"/>
    <w:rsid w:val="00CF49AF"/>
    <w:rsid w:val="00D00740"/>
    <w:rsid w:val="00D024E0"/>
    <w:rsid w:val="00D107FE"/>
    <w:rsid w:val="00D11A05"/>
    <w:rsid w:val="00D12536"/>
    <w:rsid w:val="00D209AB"/>
    <w:rsid w:val="00D24C0D"/>
    <w:rsid w:val="00D2642D"/>
    <w:rsid w:val="00D26FBA"/>
    <w:rsid w:val="00D321D4"/>
    <w:rsid w:val="00D34474"/>
    <w:rsid w:val="00D42764"/>
    <w:rsid w:val="00D43034"/>
    <w:rsid w:val="00D46963"/>
    <w:rsid w:val="00D63F85"/>
    <w:rsid w:val="00D7427B"/>
    <w:rsid w:val="00D77D8A"/>
    <w:rsid w:val="00D80D22"/>
    <w:rsid w:val="00D90E47"/>
    <w:rsid w:val="00DA79FA"/>
    <w:rsid w:val="00DB65FC"/>
    <w:rsid w:val="00DB7E64"/>
    <w:rsid w:val="00DC077A"/>
    <w:rsid w:val="00DC1E46"/>
    <w:rsid w:val="00DC706A"/>
    <w:rsid w:val="00DD2542"/>
    <w:rsid w:val="00DD5644"/>
    <w:rsid w:val="00DD74A4"/>
    <w:rsid w:val="00DE217D"/>
    <w:rsid w:val="00DE468A"/>
    <w:rsid w:val="00DE60C1"/>
    <w:rsid w:val="00DF173C"/>
    <w:rsid w:val="00DF61AF"/>
    <w:rsid w:val="00E04E9F"/>
    <w:rsid w:val="00E0570B"/>
    <w:rsid w:val="00E05F4D"/>
    <w:rsid w:val="00E06773"/>
    <w:rsid w:val="00E07CBF"/>
    <w:rsid w:val="00E159E5"/>
    <w:rsid w:val="00E15CF9"/>
    <w:rsid w:val="00E22665"/>
    <w:rsid w:val="00E248FB"/>
    <w:rsid w:val="00E30A34"/>
    <w:rsid w:val="00E345E3"/>
    <w:rsid w:val="00E44F58"/>
    <w:rsid w:val="00E473E5"/>
    <w:rsid w:val="00E5056F"/>
    <w:rsid w:val="00E5430B"/>
    <w:rsid w:val="00E549A0"/>
    <w:rsid w:val="00E57396"/>
    <w:rsid w:val="00E61EAD"/>
    <w:rsid w:val="00E72EE4"/>
    <w:rsid w:val="00E8177A"/>
    <w:rsid w:val="00E81844"/>
    <w:rsid w:val="00E84443"/>
    <w:rsid w:val="00E8725A"/>
    <w:rsid w:val="00E941FF"/>
    <w:rsid w:val="00E96D1A"/>
    <w:rsid w:val="00EA295C"/>
    <w:rsid w:val="00EB0AA6"/>
    <w:rsid w:val="00EB36D4"/>
    <w:rsid w:val="00EB5161"/>
    <w:rsid w:val="00EB7680"/>
    <w:rsid w:val="00EB7D7F"/>
    <w:rsid w:val="00ED1175"/>
    <w:rsid w:val="00ED71B4"/>
    <w:rsid w:val="00EE1641"/>
    <w:rsid w:val="00EE2918"/>
    <w:rsid w:val="00EF0579"/>
    <w:rsid w:val="00EF1D60"/>
    <w:rsid w:val="00EF4203"/>
    <w:rsid w:val="00EF7ED9"/>
    <w:rsid w:val="00F01951"/>
    <w:rsid w:val="00F027BC"/>
    <w:rsid w:val="00F05E14"/>
    <w:rsid w:val="00F074D0"/>
    <w:rsid w:val="00F11820"/>
    <w:rsid w:val="00F13A22"/>
    <w:rsid w:val="00F245EA"/>
    <w:rsid w:val="00F248D6"/>
    <w:rsid w:val="00F25252"/>
    <w:rsid w:val="00F34CCF"/>
    <w:rsid w:val="00F35421"/>
    <w:rsid w:val="00F408EA"/>
    <w:rsid w:val="00F415D4"/>
    <w:rsid w:val="00F42A1B"/>
    <w:rsid w:val="00F438F4"/>
    <w:rsid w:val="00F45189"/>
    <w:rsid w:val="00F46231"/>
    <w:rsid w:val="00F46F99"/>
    <w:rsid w:val="00F500C3"/>
    <w:rsid w:val="00F55747"/>
    <w:rsid w:val="00F679A6"/>
    <w:rsid w:val="00F705BA"/>
    <w:rsid w:val="00F81AA8"/>
    <w:rsid w:val="00F844AE"/>
    <w:rsid w:val="00F85115"/>
    <w:rsid w:val="00F90763"/>
    <w:rsid w:val="00F90DC5"/>
    <w:rsid w:val="00F92467"/>
    <w:rsid w:val="00F928AB"/>
    <w:rsid w:val="00F9444E"/>
    <w:rsid w:val="00F9525E"/>
    <w:rsid w:val="00F952FA"/>
    <w:rsid w:val="00FA20CE"/>
    <w:rsid w:val="00FA3FB4"/>
    <w:rsid w:val="00FA7637"/>
    <w:rsid w:val="00FB104E"/>
    <w:rsid w:val="00FB3E4A"/>
    <w:rsid w:val="00FC3F50"/>
    <w:rsid w:val="00FD69A0"/>
    <w:rsid w:val="00FE3BF5"/>
    <w:rsid w:val="00FF569F"/>
    <w:rsid w:val="00FF56B4"/>
    <w:rsid w:val="00FF5886"/>
    <w:rsid w:val="00FF64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1D1B7"/>
  <w15:docId w15:val="{3CBE95A9-8E98-45D8-8B84-D611E2BC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AU"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Nunito Sans Light" w:hAnsi="Nunito Sans Light"/>
    </w:rPr>
  </w:style>
  <w:style w:type="paragraph" w:styleId="Heading1">
    <w:name w:val="heading 1"/>
    <w:basedOn w:val="Normal"/>
    <w:next w:val="Normal"/>
    <w:uiPriority w:val="9"/>
    <w:qFormat/>
    <w:rsid w:val="002E199E"/>
    <w:pPr>
      <w:outlineLvl w:val="0"/>
    </w:pPr>
    <w:rPr>
      <w:rFonts w:ascii="Galano Grotesque ExtraBold" w:hAnsi="Galano Grotesque ExtraBold"/>
      <w:color w:val="0F4058" w:themeColor="accent1"/>
      <w:sz w:val="28"/>
    </w:rPr>
  </w:style>
  <w:style w:type="paragraph" w:styleId="Heading2">
    <w:name w:val="heading 2"/>
    <w:basedOn w:val="Normal"/>
    <w:next w:val="Normal"/>
    <w:uiPriority w:val="9"/>
    <w:unhideWhenUsed/>
    <w:qFormat/>
    <w:rsid w:val="00393D82"/>
    <w:pPr>
      <w:keepNext/>
      <w:spacing w:before="240" w:after="60" w:line="240" w:lineRule="auto"/>
      <w:outlineLvl w:val="1"/>
    </w:pPr>
    <w:rPr>
      <w:rFonts w:ascii="Galano Grotesque ExtraBold" w:eastAsia="Times New Roman" w:hAnsi="Galano Grotesque ExtraBold" w:cs="Arial"/>
      <w:b/>
      <w:bCs/>
      <w:iCs/>
      <w:color w:val="4472C4"/>
      <w:sz w:val="26"/>
      <w:szCs w:val="26"/>
      <w:lang w:eastAsia="en-AU"/>
    </w:rPr>
  </w:style>
  <w:style w:type="paragraph" w:styleId="Heading3">
    <w:name w:val="heading 3"/>
    <w:basedOn w:val="Normal"/>
    <w:next w:val="Normal"/>
    <w:uiPriority w:val="9"/>
    <w:unhideWhenUsed/>
    <w:qFormat/>
    <w:pPr>
      <w:keepNext/>
      <w:spacing w:before="240" w:after="60" w:line="240" w:lineRule="auto"/>
      <w:ind w:left="720" w:hanging="720"/>
      <w:outlineLvl w:val="2"/>
    </w:pPr>
    <w:rPr>
      <w:rFonts w:ascii="Arial" w:eastAsia="Times New Roman" w:hAnsi="Arial" w:cs="Arial"/>
      <w:b/>
      <w:bCs/>
      <w:sz w:val="26"/>
      <w:szCs w:val="26"/>
      <w:lang w:eastAsia="en-AU"/>
    </w:rPr>
  </w:style>
  <w:style w:type="paragraph" w:styleId="Heading4">
    <w:name w:val="heading 4"/>
    <w:basedOn w:val="Normal"/>
    <w:next w:val="Normal"/>
    <w:uiPriority w:val="9"/>
    <w:semiHidden/>
    <w:unhideWhenUsed/>
    <w:qFormat/>
    <w:pPr>
      <w:keepNext/>
      <w:keepLines/>
      <w:spacing w:before="200" w:after="0" w:line="240" w:lineRule="auto"/>
      <w:ind w:left="864" w:hanging="864"/>
      <w:outlineLvl w:val="3"/>
    </w:pPr>
    <w:rPr>
      <w:rFonts w:ascii="Calibri Light" w:eastAsia="Times New Roman" w:hAnsi="Calibri Light"/>
      <w:b/>
      <w:bCs/>
      <w:i/>
      <w:iCs/>
      <w:color w:val="4472C4"/>
      <w:sz w:val="24"/>
      <w:szCs w:val="24"/>
      <w:lang w:eastAsia="en-AU"/>
    </w:rPr>
  </w:style>
  <w:style w:type="paragraph" w:styleId="Heading5">
    <w:name w:val="heading 5"/>
    <w:basedOn w:val="Normal"/>
    <w:next w:val="Normal"/>
    <w:uiPriority w:val="9"/>
    <w:semiHidden/>
    <w:unhideWhenUsed/>
    <w:qFormat/>
    <w:pPr>
      <w:keepNext/>
      <w:keepLines/>
      <w:spacing w:before="200" w:after="0" w:line="240" w:lineRule="auto"/>
      <w:ind w:left="1008" w:hanging="1008"/>
      <w:outlineLvl w:val="4"/>
    </w:pPr>
    <w:rPr>
      <w:rFonts w:ascii="Calibri Light" w:eastAsia="Times New Roman" w:hAnsi="Calibri Light"/>
      <w:color w:val="1F3763"/>
      <w:sz w:val="24"/>
      <w:szCs w:val="24"/>
      <w:lang w:eastAsia="en-AU"/>
    </w:rPr>
  </w:style>
  <w:style w:type="paragraph" w:styleId="Heading6">
    <w:name w:val="heading 6"/>
    <w:basedOn w:val="Normal"/>
    <w:next w:val="Normal"/>
    <w:uiPriority w:val="9"/>
    <w:semiHidden/>
    <w:unhideWhenUsed/>
    <w:qFormat/>
    <w:pPr>
      <w:keepNext/>
      <w:keepLines/>
      <w:spacing w:before="200" w:after="0" w:line="240" w:lineRule="auto"/>
      <w:ind w:left="1152" w:hanging="1152"/>
      <w:outlineLvl w:val="5"/>
    </w:pPr>
    <w:rPr>
      <w:rFonts w:ascii="Calibri Light" w:eastAsia="Times New Roman" w:hAnsi="Calibri Light"/>
      <w:i/>
      <w:iCs/>
      <w:color w:val="1F3763"/>
      <w:sz w:val="24"/>
      <w:szCs w:val="24"/>
      <w:lang w:eastAsia="en-AU"/>
    </w:rPr>
  </w:style>
  <w:style w:type="paragraph" w:styleId="Heading7">
    <w:name w:val="heading 7"/>
    <w:basedOn w:val="Normal"/>
    <w:next w:val="Normal"/>
    <w:pPr>
      <w:keepNext/>
      <w:keepLines/>
      <w:spacing w:before="200" w:after="0" w:line="240" w:lineRule="auto"/>
      <w:ind w:left="1296" w:hanging="1296"/>
      <w:outlineLvl w:val="6"/>
    </w:pPr>
    <w:rPr>
      <w:rFonts w:ascii="Calibri Light" w:eastAsia="Times New Roman" w:hAnsi="Calibri Light"/>
      <w:i/>
      <w:iCs/>
      <w:color w:val="404040"/>
      <w:sz w:val="24"/>
      <w:szCs w:val="24"/>
      <w:lang w:eastAsia="en-AU"/>
    </w:rPr>
  </w:style>
  <w:style w:type="paragraph" w:styleId="Heading8">
    <w:name w:val="heading 8"/>
    <w:basedOn w:val="Normal"/>
    <w:next w:val="Normal"/>
    <w:pPr>
      <w:keepNext/>
      <w:keepLines/>
      <w:spacing w:before="200" w:after="0" w:line="240" w:lineRule="auto"/>
      <w:ind w:left="1440" w:hanging="1440"/>
      <w:outlineLvl w:val="7"/>
    </w:pPr>
    <w:rPr>
      <w:rFonts w:ascii="Calibri Light" w:eastAsia="Times New Roman" w:hAnsi="Calibri Light"/>
      <w:color w:val="404040"/>
      <w:sz w:val="20"/>
      <w:szCs w:val="20"/>
      <w:lang w:eastAsia="en-AU"/>
    </w:rPr>
  </w:style>
  <w:style w:type="paragraph" w:styleId="Heading9">
    <w:name w:val="heading 9"/>
    <w:basedOn w:val="Normal"/>
    <w:next w:val="Normal"/>
    <w:pPr>
      <w:keepNext/>
      <w:keepLines/>
      <w:spacing w:before="200" w:after="0" w:line="240" w:lineRule="auto"/>
      <w:ind w:left="1584" w:hanging="1584"/>
      <w:outlineLvl w:val="8"/>
    </w:pPr>
    <w:rPr>
      <w:rFonts w:ascii="Calibri Light" w:eastAsia="Times New Roman" w:hAnsi="Calibri Light"/>
      <w:i/>
      <w:iCs/>
      <w:color w:val="40404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character" w:customStyle="1" w:styleId="Heading1Char">
    <w:name w:val="Heading 1 Char"/>
    <w:basedOn w:val="DefaultParagraphFont"/>
    <w:rPr>
      <w:rFonts w:ascii="Galano Grotesque ExtraBold" w:hAnsi="Galano Grotesque ExtraBold"/>
      <w:sz w:val="28"/>
    </w:rPr>
  </w:style>
  <w:style w:type="character" w:customStyle="1" w:styleId="Heading2Char">
    <w:name w:val="Heading 2 Char"/>
    <w:basedOn w:val="DefaultParagraphFont"/>
    <w:rPr>
      <w:rFonts w:ascii="Galano Grotesque ExtraBold" w:eastAsia="Times New Roman" w:hAnsi="Galano Grotesque ExtraBold" w:cs="Arial"/>
      <w:b/>
      <w:bCs/>
      <w:iCs/>
      <w:color w:val="4472C4"/>
      <w:sz w:val="26"/>
      <w:szCs w:val="26"/>
      <w:lang w:eastAsia="en-AU"/>
    </w:rPr>
  </w:style>
  <w:style w:type="paragraph" w:styleId="ListParagraph">
    <w:name w:val="List Paragraph"/>
    <w:aliases w:val="Recommendation,List Paragraph1,List Paragraph11,L,Bullet Point,Content descriptions,Body Bullets 1,Bullet point,Main,CV text,Table text,F5 List Paragraph,Dot pt,List Paragraph111,Medium Grid 1 - Accent 21,Numbered Paragraph"/>
    <w:basedOn w:val="Normal"/>
    <w:link w:val="ListParagraphChar"/>
    <w:uiPriority w:val="34"/>
    <w:qFormat/>
    <w:pPr>
      <w:ind w:left="720"/>
    </w:pPr>
  </w:style>
  <w:style w:type="character" w:customStyle="1" w:styleId="Heading3Char">
    <w:name w:val="Heading 3 Char"/>
    <w:basedOn w:val="DefaultParagraphFont"/>
    <w:rPr>
      <w:rFonts w:ascii="Arial" w:eastAsia="Times New Roman" w:hAnsi="Arial" w:cs="Arial"/>
      <w:b/>
      <w:bCs/>
      <w:sz w:val="26"/>
      <w:szCs w:val="26"/>
      <w:lang w:eastAsia="en-AU"/>
    </w:rPr>
  </w:style>
  <w:style w:type="character" w:customStyle="1" w:styleId="Heading4Char">
    <w:name w:val="Heading 4 Char"/>
    <w:basedOn w:val="DefaultParagraphFont"/>
    <w:rPr>
      <w:rFonts w:ascii="Calibri Light" w:eastAsia="Times New Roman" w:hAnsi="Calibri Light" w:cs="Times New Roman"/>
      <w:b/>
      <w:bCs/>
      <w:i/>
      <w:iCs/>
      <w:color w:val="4472C4"/>
      <w:sz w:val="24"/>
      <w:szCs w:val="24"/>
      <w:lang w:eastAsia="en-AU"/>
    </w:rPr>
  </w:style>
  <w:style w:type="character" w:customStyle="1" w:styleId="Heading5Char">
    <w:name w:val="Heading 5 Char"/>
    <w:basedOn w:val="DefaultParagraphFont"/>
    <w:rPr>
      <w:rFonts w:ascii="Calibri Light" w:eastAsia="Times New Roman" w:hAnsi="Calibri Light" w:cs="Times New Roman"/>
      <w:color w:val="1F3763"/>
      <w:sz w:val="24"/>
      <w:szCs w:val="24"/>
      <w:lang w:eastAsia="en-AU"/>
    </w:rPr>
  </w:style>
  <w:style w:type="character" w:customStyle="1" w:styleId="Heading6Char">
    <w:name w:val="Heading 6 Char"/>
    <w:basedOn w:val="DefaultParagraphFont"/>
    <w:rPr>
      <w:rFonts w:ascii="Calibri Light" w:eastAsia="Times New Roman" w:hAnsi="Calibri Light" w:cs="Times New Roman"/>
      <w:i/>
      <w:iCs/>
      <w:color w:val="1F3763"/>
      <w:sz w:val="24"/>
      <w:szCs w:val="24"/>
      <w:lang w:eastAsia="en-AU"/>
    </w:rPr>
  </w:style>
  <w:style w:type="character" w:customStyle="1" w:styleId="Heading7Char">
    <w:name w:val="Heading 7 Char"/>
    <w:basedOn w:val="DefaultParagraphFont"/>
    <w:rPr>
      <w:rFonts w:ascii="Calibri Light" w:eastAsia="Times New Roman" w:hAnsi="Calibri Light" w:cs="Times New Roman"/>
      <w:i/>
      <w:iCs/>
      <w:color w:val="404040"/>
      <w:sz w:val="24"/>
      <w:szCs w:val="24"/>
      <w:lang w:eastAsia="en-AU"/>
    </w:rPr>
  </w:style>
  <w:style w:type="character" w:customStyle="1" w:styleId="Heading8Char">
    <w:name w:val="Heading 8 Char"/>
    <w:basedOn w:val="DefaultParagraphFont"/>
    <w:rPr>
      <w:rFonts w:ascii="Calibri Light" w:eastAsia="Times New Roman" w:hAnsi="Calibri Light" w:cs="Times New Roman"/>
      <w:color w:val="404040"/>
      <w:sz w:val="20"/>
      <w:szCs w:val="20"/>
      <w:lang w:eastAsia="en-AU"/>
    </w:rPr>
  </w:style>
  <w:style w:type="character" w:customStyle="1" w:styleId="Heading9Char">
    <w:name w:val="Heading 9 Char"/>
    <w:basedOn w:val="DefaultParagraphFont"/>
    <w:rPr>
      <w:rFonts w:ascii="Calibri Light" w:eastAsia="Times New Roman" w:hAnsi="Calibri Light" w:cs="Times New Roman"/>
      <w:i/>
      <w:iCs/>
      <w:color w:val="404040"/>
      <w:sz w:val="20"/>
      <w:szCs w:val="20"/>
      <w:lang w:eastAsia="en-AU"/>
    </w:rPr>
  </w:style>
  <w:style w:type="paragraph" w:customStyle="1" w:styleId="Policybodytext">
    <w:name w:val="Policy body text"/>
    <w:pPr>
      <w:suppressAutoHyphens/>
      <w:spacing w:before="120" w:after="120" w:line="240" w:lineRule="auto"/>
    </w:pPr>
    <w:rPr>
      <w:rFonts w:ascii="Arial" w:eastAsia="Times New Roman" w:hAnsi="Arial" w:cs="Arial"/>
      <w:bCs/>
      <w:lang w:eastAsia="en-AU"/>
    </w:rPr>
  </w:style>
  <w:style w:type="character" w:customStyle="1" w:styleId="PolicybodytextChar">
    <w:name w:val="Policy body text Char"/>
    <w:basedOn w:val="DefaultParagraphFont"/>
    <w:rPr>
      <w:rFonts w:ascii="Arial" w:eastAsia="Times New Roman" w:hAnsi="Arial" w:cs="Arial"/>
      <w:bCs/>
      <w:lang w:eastAsia="en-AU"/>
    </w:rPr>
  </w:style>
  <w:style w:type="paragraph" w:customStyle="1" w:styleId="PolicyHeading2">
    <w:name w:val="Policy Heading 2"/>
    <w:basedOn w:val="Heading2"/>
    <w:pPr>
      <w:ind w:left="576" w:hanging="576"/>
    </w:pPr>
    <w:rPr>
      <w:rFonts w:ascii="Arial" w:hAnsi="Arial"/>
      <w:b w:val="0"/>
      <w:bCs w:val="0"/>
      <w:iCs w:val="0"/>
    </w:rPr>
  </w:style>
  <w:style w:type="character" w:customStyle="1" w:styleId="PolicyHeading2Char">
    <w:name w:val="Policy Heading 2 Char"/>
    <w:basedOn w:val="Heading2Char"/>
    <w:rPr>
      <w:rFonts w:ascii="Arial" w:eastAsia="Times New Roman" w:hAnsi="Arial" w:cs="Arial"/>
      <w:b w:val="0"/>
      <w:bCs w:val="0"/>
      <w:iCs w:val="0"/>
      <w:color w:val="4472C4"/>
      <w:sz w:val="26"/>
      <w:szCs w:val="26"/>
      <w:lang w:eastAsia="en-AU"/>
    </w:rPr>
  </w:style>
  <w:style w:type="paragraph" w:styleId="NoSpacing">
    <w:name w:val="No Spacing"/>
    <w:pPr>
      <w:suppressAutoHyphens/>
      <w:spacing w:after="0" w:line="240" w:lineRule="auto"/>
    </w:pPr>
    <w:rPr>
      <w:rFonts w:ascii="Nunito Sans Light" w:hAnsi="Nunito Sans Light"/>
    </w:rPr>
  </w:style>
  <w:style w:type="paragraph" w:customStyle="1" w:styleId="CM38">
    <w:name w:val="CM38"/>
    <w:basedOn w:val="Normal"/>
    <w:next w:val="Normal"/>
    <w:pPr>
      <w:widowControl w:val="0"/>
      <w:autoSpaceDE w:val="0"/>
      <w:spacing w:after="240" w:line="240" w:lineRule="auto"/>
    </w:pPr>
    <w:rPr>
      <w:rFonts w:ascii="Arial" w:eastAsia="Times New Roman" w:hAnsi="Arial"/>
      <w:sz w:val="24"/>
      <w:szCs w:val="24"/>
      <w:lang w:eastAsia="en-AU"/>
    </w:rPr>
  </w:style>
  <w:style w:type="paragraph" w:customStyle="1" w:styleId="PolicyTabletext">
    <w:name w:val="Policy Table text"/>
    <w:next w:val="Normal"/>
    <w:pPr>
      <w:suppressAutoHyphens/>
      <w:spacing w:before="40" w:after="40" w:line="240" w:lineRule="auto"/>
    </w:pPr>
    <w:rPr>
      <w:rFonts w:ascii="Arial" w:eastAsia="Times New Roman" w:hAnsi="Arial" w:cs="Arial"/>
      <w:bCs/>
      <w:lang w:eastAsia="en-AU"/>
    </w:rPr>
  </w:style>
  <w:style w:type="paragraph" w:styleId="Title">
    <w:name w:val="Title"/>
    <w:basedOn w:val="Normal"/>
    <w:next w:val="Normal"/>
    <w:qFormat/>
    <w:pPr>
      <w:spacing w:after="0" w:line="240" w:lineRule="auto"/>
    </w:pPr>
    <w:rPr>
      <w:rFonts w:ascii="Galano Grotesque ExtraBold" w:eastAsia="Times New Roman" w:hAnsi="Galano Grotesque ExtraBold"/>
      <w:spacing w:val="-10"/>
      <w:kern w:val="3"/>
      <w:sz w:val="96"/>
      <w:szCs w:val="56"/>
    </w:rPr>
  </w:style>
  <w:style w:type="character" w:customStyle="1" w:styleId="TitleChar">
    <w:name w:val="Title Char"/>
    <w:basedOn w:val="DefaultParagraphFont"/>
    <w:rPr>
      <w:rFonts w:ascii="Galano Grotesque ExtraBold" w:eastAsia="Times New Roman" w:hAnsi="Galano Grotesque ExtraBold" w:cs="Times New Roman"/>
      <w:spacing w:val="-10"/>
      <w:kern w:val="3"/>
      <w:sz w:val="96"/>
      <w:szCs w:val="56"/>
    </w:rPr>
  </w:style>
  <w:style w:type="paragraph" w:customStyle="1" w:styleId="Default">
    <w:name w:val="Default"/>
    <w:pPr>
      <w:widowControl w:val="0"/>
      <w:suppressAutoHyphens/>
      <w:autoSpaceDE w:val="0"/>
      <w:spacing w:after="0" w:line="240" w:lineRule="auto"/>
    </w:pPr>
    <w:rPr>
      <w:rFonts w:ascii="Arial" w:eastAsia="Times New Roman" w:hAnsi="Arial" w:cs="Arial"/>
      <w:color w:val="000000"/>
      <w:sz w:val="24"/>
      <w:szCs w:val="24"/>
      <w:lang w:eastAsia="en-AU"/>
    </w:rPr>
  </w:style>
  <w:style w:type="numbering" w:customStyle="1" w:styleId="WWOutlineListStyle">
    <w:name w:val="WW_OutlineListStyle"/>
    <w:basedOn w:val="NoList"/>
    <w:pPr>
      <w:numPr>
        <w:numId w:val="2"/>
      </w:numPr>
    </w:pPr>
  </w:style>
  <w:style w:type="paragraph" w:styleId="Caption">
    <w:name w:val="caption"/>
    <w:basedOn w:val="Normal"/>
    <w:next w:val="Normal"/>
    <w:uiPriority w:val="35"/>
    <w:qFormat/>
    <w:rsid w:val="00B54DE0"/>
    <w:pPr>
      <w:tabs>
        <w:tab w:val="left" w:pos="1134"/>
      </w:tabs>
      <w:suppressAutoHyphens w:val="0"/>
      <w:autoSpaceDN/>
      <w:spacing w:before="240" w:line="240" w:lineRule="auto"/>
      <w:ind w:left="1134" w:hanging="1134"/>
      <w:textAlignment w:val="auto"/>
    </w:pPr>
    <w:rPr>
      <w:rFonts w:ascii="Nunito Sans" w:eastAsia="Times New Roman" w:hAnsi="Nunito Sans"/>
      <w:b/>
      <w:iCs/>
      <w:color w:val="000000" w:themeColor="text1"/>
      <w:kern w:val="21"/>
      <w:sz w:val="20"/>
      <w:szCs w:val="18"/>
    </w:rPr>
  </w:style>
  <w:style w:type="table" w:styleId="TableGrid">
    <w:name w:val="Table Grid"/>
    <w:basedOn w:val="TableNormal"/>
    <w:uiPriority w:val="39"/>
    <w:rsid w:val="00B65F53"/>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5F53"/>
    <w:rPr>
      <w:sz w:val="16"/>
      <w:szCs w:val="16"/>
    </w:rPr>
  </w:style>
  <w:style w:type="paragraph" w:styleId="CommentText">
    <w:name w:val="annotation text"/>
    <w:basedOn w:val="Normal"/>
    <w:link w:val="CommentTextChar"/>
    <w:uiPriority w:val="99"/>
    <w:semiHidden/>
    <w:unhideWhenUsed/>
    <w:rsid w:val="00B65F53"/>
    <w:pPr>
      <w:suppressAutoHyphens w:val="0"/>
      <w:autoSpaceDN/>
      <w:spacing w:line="240" w:lineRule="auto"/>
      <w:textAlignment w:val="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65F53"/>
    <w:rPr>
      <w:rFonts w:asciiTheme="minorHAnsi" w:eastAsiaTheme="minorHAnsi" w:hAnsiTheme="minorHAnsi" w:cstheme="minorBidi"/>
      <w:sz w:val="20"/>
      <w:szCs w:val="20"/>
    </w:rPr>
  </w:style>
  <w:style w:type="paragraph" w:styleId="ListBullet">
    <w:name w:val="List Bullet"/>
    <w:basedOn w:val="BodyText"/>
    <w:link w:val="ListBulletChar"/>
    <w:autoRedefine/>
    <w:qFormat/>
    <w:rsid w:val="00B65F53"/>
    <w:pPr>
      <w:suppressAutoHyphens w:val="0"/>
      <w:autoSpaceDN/>
      <w:spacing w:after="60" w:line="218" w:lineRule="auto"/>
      <w:ind w:left="4395"/>
      <w:textAlignment w:val="auto"/>
    </w:pPr>
    <w:rPr>
      <w:rFonts w:asciiTheme="minorHAnsi" w:eastAsia="Times New Roman" w:hAnsiTheme="minorHAnsi"/>
      <w:color w:val="000000" w:themeColor="text1"/>
      <w:kern w:val="21"/>
      <w:sz w:val="20"/>
      <w:szCs w:val="16"/>
    </w:rPr>
  </w:style>
  <w:style w:type="character" w:customStyle="1" w:styleId="ListBulletChar">
    <w:name w:val="List Bullet Char"/>
    <w:basedOn w:val="BodyTextChar"/>
    <w:link w:val="ListBullet"/>
    <w:rsid w:val="00B65F53"/>
    <w:rPr>
      <w:rFonts w:asciiTheme="minorHAnsi" w:eastAsia="Times New Roman" w:hAnsiTheme="minorHAnsi"/>
      <w:color w:val="000000" w:themeColor="text1"/>
      <w:kern w:val="21"/>
      <w:sz w:val="20"/>
      <w:szCs w:val="16"/>
    </w:rPr>
  </w:style>
  <w:style w:type="paragraph" w:styleId="BodyText">
    <w:name w:val="Body Text"/>
    <w:basedOn w:val="Normal"/>
    <w:link w:val="BodyTextChar"/>
    <w:uiPriority w:val="99"/>
    <w:semiHidden/>
    <w:unhideWhenUsed/>
    <w:rsid w:val="00B65F53"/>
    <w:pPr>
      <w:spacing w:after="120"/>
    </w:pPr>
  </w:style>
  <w:style w:type="character" w:customStyle="1" w:styleId="BodyTextChar">
    <w:name w:val="Body Text Char"/>
    <w:basedOn w:val="DefaultParagraphFont"/>
    <w:link w:val="BodyText"/>
    <w:uiPriority w:val="99"/>
    <w:semiHidden/>
    <w:rsid w:val="00B65F53"/>
    <w:rPr>
      <w:rFonts w:ascii="Nunito Sans Light" w:hAnsi="Nunito Sans Light"/>
    </w:rPr>
  </w:style>
  <w:style w:type="character" w:styleId="Hyperlink">
    <w:name w:val="Hyperlink"/>
    <w:basedOn w:val="DefaultParagraphFont"/>
    <w:uiPriority w:val="99"/>
    <w:unhideWhenUsed/>
    <w:rsid w:val="00B65F53"/>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4813B2"/>
    <w:pPr>
      <w:suppressAutoHyphens/>
      <w:autoSpaceDN w:val="0"/>
      <w:textAlignment w:val="baseline"/>
    </w:pPr>
    <w:rPr>
      <w:rFonts w:ascii="Nunito Sans Light" w:eastAsia="Calibri" w:hAnsi="Nunito Sans Light" w:cs="Times New Roman"/>
      <w:b/>
      <w:bCs/>
    </w:rPr>
  </w:style>
  <w:style w:type="character" w:customStyle="1" w:styleId="CommentSubjectChar">
    <w:name w:val="Comment Subject Char"/>
    <w:basedOn w:val="CommentTextChar"/>
    <w:link w:val="CommentSubject"/>
    <w:uiPriority w:val="99"/>
    <w:semiHidden/>
    <w:rsid w:val="004813B2"/>
    <w:rPr>
      <w:rFonts w:ascii="Nunito Sans Light" w:eastAsiaTheme="minorHAnsi" w:hAnsi="Nunito Sans Light" w:cstheme="minorBidi"/>
      <w:b/>
      <w:bCs/>
      <w:sz w:val="20"/>
      <w:szCs w:val="20"/>
    </w:rPr>
  </w:style>
  <w:style w:type="paragraph" w:styleId="FootnoteText">
    <w:name w:val="footnote text"/>
    <w:basedOn w:val="Normal"/>
    <w:link w:val="FootnoteTextChar"/>
    <w:uiPriority w:val="99"/>
    <w:semiHidden/>
    <w:unhideWhenUsed/>
    <w:rsid w:val="009B5B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5B4C"/>
    <w:rPr>
      <w:rFonts w:ascii="Nunito Sans Light" w:hAnsi="Nunito Sans Light"/>
      <w:sz w:val="20"/>
      <w:szCs w:val="20"/>
    </w:rPr>
  </w:style>
  <w:style w:type="character" w:styleId="FootnoteReference">
    <w:name w:val="footnote reference"/>
    <w:basedOn w:val="DefaultParagraphFont"/>
    <w:uiPriority w:val="99"/>
    <w:semiHidden/>
    <w:unhideWhenUsed/>
    <w:rsid w:val="009B5B4C"/>
    <w:rPr>
      <w:vertAlign w:val="superscript"/>
    </w:rPr>
  </w:style>
  <w:style w:type="table" w:customStyle="1" w:styleId="TableGrid1">
    <w:name w:val="Table Grid1"/>
    <w:basedOn w:val="TableNormal"/>
    <w:next w:val="TableGrid"/>
    <w:rsid w:val="00912A18"/>
    <w:pPr>
      <w:autoSpaceDN/>
      <w:spacing w:before="50" w:after="50" w:line="218" w:lineRule="auto"/>
      <w:textAlignment w:val="auto"/>
    </w:pPr>
    <w:rPr>
      <w:rFonts w:ascii="Nunito Sans Light" w:eastAsia="Times New Roman" w:hAnsi="Nunito Sans Light"/>
      <w:color w:val="231F20"/>
      <w:sz w:val="21"/>
      <w:szCs w:val="21"/>
      <w:lang w:eastAsia="en-A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0E6F7"/>
    </w:tcPr>
    <w:tblStylePr w:type="firstRow">
      <w:rPr>
        <w:rFonts w:ascii="Nunito Sans" w:hAnsi="Nunito Sans"/>
        <w:b/>
      </w:rPr>
      <w:tblPr/>
      <w:tcPr>
        <w:shd w:val="clear" w:color="auto" w:fill="BFCEE7"/>
      </w:tcPr>
    </w:tblStylePr>
  </w:style>
  <w:style w:type="character" w:customStyle="1" w:styleId="ListParagraphChar">
    <w:name w:val="List Paragraph Char"/>
    <w:aliases w:val="Recommendation Char,List Paragraph1 Char,List Paragraph11 Char,L Char,Bullet Point Char,Content descriptions Char,Body Bullets 1 Char,Bullet point Char,Main Char,CV text Char,Table text Char,F5 List Paragraph Char,Dot pt Char"/>
    <w:basedOn w:val="DefaultParagraphFont"/>
    <w:link w:val="ListParagraph"/>
    <w:uiPriority w:val="34"/>
    <w:locked/>
    <w:rsid w:val="00997685"/>
    <w:rPr>
      <w:rFonts w:ascii="Nunito Sans Light" w:hAnsi="Nunito Sans Light"/>
    </w:rPr>
  </w:style>
  <w:style w:type="paragraph" w:styleId="Subtitle">
    <w:name w:val="Subtitle"/>
    <w:basedOn w:val="Normal"/>
    <w:next w:val="Normal"/>
    <w:link w:val="SubtitleChar"/>
    <w:rsid w:val="00561DC2"/>
    <w:pPr>
      <w:numPr>
        <w:ilvl w:val="1"/>
      </w:numPr>
      <w:suppressAutoHyphens w:val="0"/>
      <w:autoSpaceDN/>
      <w:spacing w:before="50" w:after="0" w:line="560" w:lineRule="exact"/>
      <w:contextualSpacing/>
      <w:textAlignment w:val="auto"/>
    </w:pPr>
    <w:rPr>
      <w:rFonts w:ascii="Galano Grotesque ExtraBold" w:eastAsiaTheme="minorEastAsia" w:hAnsi="Galano Grotesque ExtraBold" w:cstheme="minorBidi"/>
      <w:color w:val="FFFFFF" w:themeColor="background1"/>
      <w:kern w:val="21"/>
      <w:sz w:val="44"/>
    </w:rPr>
  </w:style>
  <w:style w:type="character" w:customStyle="1" w:styleId="SubtitleChar">
    <w:name w:val="Subtitle Char"/>
    <w:basedOn w:val="DefaultParagraphFont"/>
    <w:link w:val="Subtitle"/>
    <w:rsid w:val="00561DC2"/>
    <w:rPr>
      <w:rFonts w:ascii="Galano Grotesque ExtraBold" w:eastAsiaTheme="minorEastAsia" w:hAnsi="Galano Grotesque ExtraBold" w:cstheme="minorBidi"/>
      <w:color w:val="FFFFFF" w:themeColor="background1"/>
      <w:kern w:val="21"/>
      <w:sz w:val="44"/>
    </w:rPr>
  </w:style>
  <w:style w:type="character" w:styleId="EndnoteReference">
    <w:name w:val="endnote reference"/>
    <w:basedOn w:val="DefaultParagraphFont"/>
    <w:uiPriority w:val="99"/>
    <w:semiHidden/>
    <w:unhideWhenUsed/>
    <w:rsid w:val="00622597"/>
    <w:rPr>
      <w:vertAlign w:val="superscript"/>
    </w:rPr>
  </w:style>
  <w:style w:type="paragraph" w:styleId="Revision">
    <w:name w:val="Revision"/>
    <w:hidden/>
    <w:uiPriority w:val="99"/>
    <w:semiHidden/>
    <w:rsid w:val="00CB2309"/>
    <w:pPr>
      <w:autoSpaceDN/>
      <w:spacing w:after="0" w:line="240" w:lineRule="auto"/>
      <w:textAlignment w:val="auto"/>
    </w:pPr>
    <w:rPr>
      <w:rFonts w:ascii="Nunito Sans Light" w:hAnsi="Nunito Sans Light"/>
    </w:rPr>
  </w:style>
  <w:style w:type="paragraph" w:styleId="EndnoteText">
    <w:name w:val="endnote text"/>
    <w:basedOn w:val="Normal"/>
    <w:link w:val="EndnoteTextChar"/>
    <w:uiPriority w:val="99"/>
    <w:semiHidden/>
    <w:unhideWhenUsed/>
    <w:rsid w:val="0043718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7180"/>
    <w:rPr>
      <w:rFonts w:ascii="Nunito Sans Light" w:hAnsi="Nunito Sans Light"/>
      <w:sz w:val="20"/>
      <w:szCs w:val="20"/>
    </w:rPr>
  </w:style>
  <w:style w:type="paragraph" w:styleId="TOCHeading">
    <w:name w:val="TOC Heading"/>
    <w:basedOn w:val="Heading1"/>
    <w:next w:val="Normal"/>
    <w:uiPriority w:val="39"/>
    <w:unhideWhenUsed/>
    <w:qFormat/>
    <w:rsid w:val="00B310C0"/>
    <w:pPr>
      <w:keepNext/>
      <w:keepLines/>
      <w:suppressAutoHyphens w:val="0"/>
      <w:autoSpaceDN/>
      <w:spacing w:before="240" w:after="0" w:line="259" w:lineRule="auto"/>
      <w:textAlignment w:val="auto"/>
      <w:outlineLvl w:val="9"/>
    </w:pPr>
    <w:rPr>
      <w:rFonts w:asciiTheme="majorHAnsi" w:eastAsiaTheme="majorEastAsia" w:hAnsiTheme="majorHAnsi" w:cstheme="majorBidi"/>
      <w:color w:val="0B2F41" w:themeColor="accent1" w:themeShade="BF"/>
      <w:sz w:val="32"/>
      <w:szCs w:val="32"/>
      <w:lang w:val="en-US"/>
    </w:rPr>
  </w:style>
  <w:style w:type="paragraph" w:styleId="TOC1">
    <w:name w:val="toc 1"/>
    <w:basedOn w:val="Normal"/>
    <w:next w:val="Normal"/>
    <w:autoRedefine/>
    <w:uiPriority w:val="39"/>
    <w:unhideWhenUsed/>
    <w:rsid w:val="00B310C0"/>
    <w:pPr>
      <w:spacing w:after="100"/>
    </w:pPr>
  </w:style>
  <w:style w:type="paragraph" w:styleId="TOC2">
    <w:name w:val="toc 2"/>
    <w:basedOn w:val="Normal"/>
    <w:next w:val="Normal"/>
    <w:autoRedefine/>
    <w:uiPriority w:val="39"/>
    <w:unhideWhenUsed/>
    <w:rsid w:val="00B310C0"/>
    <w:pPr>
      <w:spacing w:after="100"/>
      <w:ind w:left="220"/>
    </w:pPr>
  </w:style>
  <w:style w:type="paragraph" w:customStyle="1" w:styleId="Introduction">
    <w:name w:val="Introduction"/>
    <w:basedOn w:val="Normal"/>
    <w:qFormat/>
    <w:rsid w:val="00C60CCC"/>
    <w:pPr>
      <w:pBdr>
        <w:top w:val="single" w:sz="4" w:space="3" w:color="0F4058" w:themeColor="accent1"/>
        <w:bottom w:val="single" w:sz="4" w:space="3" w:color="0F4058" w:themeColor="accent1"/>
      </w:pBdr>
      <w:suppressAutoHyphens w:val="0"/>
      <w:autoSpaceDN/>
      <w:spacing w:before="100" w:beforeAutospacing="1" w:after="100" w:afterAutospacing="1" w:line="300" w:lineRule="atLeast"/>
      <w:ind w:right="57"/>
      <w:textAlignment w:val="auto"/>
    </w:pPr>
    <w:rPr>
      <w:rFonts w:asciiTheme="majorHAnsi" w:eastAsia="Times New Roman" w:hAnsiTheme="majorHAnsi"/>
      <w:b/>
      <w:color w:val="0F4058" w:themeColor="accent1"/>
      <w:kern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6068">
      <w:bodyDiv w:val="1"/>
      <w:marLeft w:val="0"/>
      <w:marRight w:val="0"/>
      <w:marTop w:val="0"/>
      <w:marBottom w:val="0"/>
      <w:divBdr>
        <w:top w:val="none" w:sz="0" w:space="0" w:color="auto"/>
        <w:left w:val="none" w:sz="0" w:space="0" w:color="auto"/>
        <w:bottom w:val="none" w:sz="0" w:space="0" w:color="auto"/>
        <w:right w:val="none" w:sz="0" w:space="0" w:color="auto"/>
      </w:divBdr>
    </w:div>
    <w:div w:id="820273387">
      <w:bodyDiv w:val="1"/>
      <w:marLeft w:val="0"/>
      <w:marRight w:val="0"/>
      <w:marTop w:val="0"/>
      <w:marBottom w:val="0"/>
      <w:divBdr>
        <w:top w:val="none" w:sz="0" w:space="0" w:color="auto"/>
        <w:left w:val="none" w:sz="0" w:space="0" w:color="auto"/>
        <w:bottom w:val="none" w:sz="0" w:space="0" w:color="auto"/>
        <w:right w:val="none" w:sz="0" w:space="0" w:color="auto"/>
      </w:divBdr>
    </w:div>
    <w:div w:id="900402730">
      <w:bodyDiv w:val="1"/>
      <w:marLeft w:val="0"/>
      <w:marRight w:val="0"/>
      <w:marTop w:val="0"/>
      <w:marBottom w:val="0"/>
      <w:divBdr>
        <w:top w:val="none" w:sz="0" w:space="0" w:color="auto"/>
        <w:left w:val="none" w:sz="0" w:space="0" w:color="auto"/>
        <w:bottom w:val="none" w:sz="0" w:space="0" w:color="auto"/>
        <w:right w:val="none" w:sz="0" w:space="0" w:color="auto"/>
      </w:divBdr>
    </w:div>
    <w:div w:id="1155953148">
      <w:bodyDiv w:val="1"/>
      <w:marLeft w:val="0"/>
      <w:marRight w:val="0"/>
      <w:marTop w:val="0"/>
      <w:marBottom w:val="0"/>
      <w:divBdr>
        <w:top w:val="none" w:sz="0" w:space="0" w:color="auto"/>
        <w:left w:val="none" w:sz="0" w:space="0" w:color="auto"/>
        <w:bottom w:val="none" w:sz="0" w:space="0" w:color="auto"/>
        <w:right w:val="none" w:sz="0" w:space="0" w:color="auto"/>
      </w:divBdr>
    </w:div>
    <w:div w:id="1488401387">
      <w:bodyDiv w:val="1"/>
      <w:marLeft w:val="0"/>
      <w:marRight w:val="0"/>
      <w:marTop w:val="0"/>
      <w:marBottom w:val="0"/>
      <w:divBdr>
        <w:top w:val="none" w:sz="0" w:space="0" w:color="auto"/>
        <w:left w:val="none" w:sz="0" w:space="0" w:color="auto"/>
        <w:bottom w:val="none" w:sz="0" w:space="0" w:color="auto"/>
        <w:right w:val="none" w:sz="0" w:space="0" w:color="auto"/>
      </w:divBdr>
    </w:div>
    <w:div w:id="1667825998">
      <w:bodyDiv w:val="1"/>
      <w:marLeft w:val="0"/>
      <w:marRight w:val="0"/>
      <w:marTop w:val="0"/>
      <w:marBottom w:val="0"/>
      <w:divBdr>
        <w:top w:val="none" w:sz="0" w:space="0" w:color="auto"/>
        <w:left w:val="none" w:sz="0" w:space="0" w:color="auto"/>
        <w:bottom w:val="none" w:sz="0" w:space="0" w:color="auto"/>
        <w:right w:val="none" w:sz="0" w:space="0" w:color="auto"/>
      </w:divBdr>
    </w:div>
    <w:div w:id="1805464079">
      <w:bodyDiv w:val="1"/>
      <w:marLeft w:val="0"/>
      <w:marRight w:val="0"/>
      <w:marTop w:val="0"/>
      <w:marBottom w:val="0"/>
      <w:divBdr>
        <w:top w:val="none" w:sz="0" w:space="0" w:color="auto"/>
        <w:left w:val="none" w:sz="0" w:space="0" w:color="auto"/>
        <w:bottom w:val="none" w:sz="0" w:space="0" w:color="auto"/>
        <w:right w:val="none" w:sz="0" w:space="0" w:color="auto"/>
      </w:divBdr>
    </w:div>
    <w:div w:id="1976907832">
      <w:bodyDiv w:val="1"/>
      <w:marLeft w:val="0"/>
      <w:marRight w:val="0"/>
      <w:marTop w:val="0"/>
      <w:marBottom w:val="0"/>
      <w:divBdr>
        <w:top w:val="none" w:sz="0" w:space="0" w:color="auto"/>
        <w:left w:val="none" w:sz="0" w:space="0" w:color="auto"/>
        <w:bottom w:val="none" w:sz="0" w:space="0" w:color="auto"/>
        <w:right w:val="none" w:sz="0" w:space="0" w:color="auto"/>
      </w:divBdr>
    </w:div>
    <w:div w:id="2080060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Merri-bek Blue">
      <a:dk1>
        <a:srgbClr val="000000"/>
      </a:dk1>
      <a:lt1>
        <a:sysClr val="window" lastClr="FFFFFF"/>
      </a:lt1>
      <a:dk2>
        <a:srgbClr val="FFFFFF"/>
      </a:dk2>
      <a:lt2>
        <a:srgbClr val="BFC2CB"/>
      </a:lt2>
      <a:accent1>
        <a:srgbClr val="0F4058"/>
      </a:accent1>
      <a:accent2>
        <a:srgbClr val="B65026"/>
      </a:accent2>
      <a:accent3>
        <a:srgbClr val="A93B4C"/>
      </a:accent3>
      <a:accent4>
        <a:srgbClr val="607C36"/>
      </a:accent4>
      <a:accent5>
        <a:srgbClr val="ED9F41"/>
      </a:accent5>
      <a:accent6>
        <a:srgbClr val="C1BAB0"/>
      </a:accent6>
      <a:hlink>
        <a:srgbClr val="0000FF"/>
      </a:hlink>
      <a:folHlink>
        <a:srgbClr val="9900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8C929803-308C-49A4-AEE5-4E8AD577D352}">
  <ds:schemaRefs>
    <ds:schemaRef ds:uri="http://schemas.openxmlformats.org/officeDocument/2006/bibliography"/>
  </ds:schemaRefs>
</ds:datastoreItem>
</file>

<file path=customXml/itemProps2.xml><?xml version="1.0" encoding="utf-8"?>
<ds:datastoreItem xmlns:ds="http://schemas.openxmlformats.org/officeDocument/2006/customXml" ds:itemID="{731D2EF5-E387-4714-B220-FFA66D8B5E9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4958</Words>
  <Characters>28560</Characters>
  <Application>Microsoft Office Word</Application>
  <DocSecurity>4</DocSecurity>
  <Lines>1098</Lines>
  <Paragraphs>532</Paragraphs>
  <ScaleCrop>false</ScaleCrop>
  <HeadingPairs>
    <vt:vector size="2" baseType="variant">
      <vt:variant>
        <vt:lpstr>Title</vt:lpstr>
      </vt:variant>
      <vt:variant>
        <vt:i4>1</vt:i4>
      </vt:variant>
    </vt:vector>
  </HeadingPairs>
  <TitlesOfParts>
    <vt:vector size="1" baseType="lpstr">
      <vt:lpstr>Affordable Housing Action Plan 2022-26 Update 2024 </vt:lpstr>
    </vt:vector>
  </TitlesOfParts>
  <Company>Merri-bek City Council</Company>
  <LinksUpToDate>false</LinksUpToDate>
  <CharactersWithSpaces>32986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Affordable Housing Action Plan 2022-26 Update 2024</dc:title>
  <dc:subject/>
  <dc:creator>Mike Collins</dc:creator>
  <cp:keywords>affordable housing</cp:keywords>
  <dc:description/>
  <cp:lastModifiedBy>Mike Collins</cp:lastModifiedBy>
  <cp:revision>2</cp:revision>
  <cp:lastPrinted>2022-12-13T03:44:00Z</cp:lastPrinted>
  <dcterms:created xsi:type="dcterms:W3CDTF">2025-02-18T06:12:00Z</dcterms:created>
  <dcterms:modified xsi:type="dcterms:W3CDTF">2025-02-18T06:12:00Z</dcterms:modified>
</cp:coreProperties>
</file>