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42682214"/>
        <w:docPartObj>
          <w:docPartGallery w:val="Cover Pages"/>
          <w:docPartUnique/>
        </w:docPartObj>
      </w:sdtPr>
      <w:sdtEndPr>
        <w:rPr>
          <w:rFonts w:cs="Arial"/>
          <w:b/>
        </w:rPr>
      </w:sdtEndPr>
      <w:sdtContent>
        <w:p w:rsidR="00490ADD" w:rsidRDefault="00490ADD" w:rsidP="00490ADD">
          <w:pPr>
            <w:rPr>
              <w:rFonts w:cs="Arial"/>
              <w:b/>
            </w:rPr>
          </w:pPr>
        </w:p>
        <w:p w:rsidR="00490ADD" w:rsidRDefault="00D8133C" w:rsidP="00490ADD">
          <w:pPr>
            <w:rPr>
              <w:rFonts w:cs="Arial"/>
              <w:b/>
            </w:rPr>
          </w:pPr>
        </w:p>
      </w:sdtContent>
    </w:sdt>
    <w:p w:rsidR="00490ADD" w:rsidRDefault="00490ADD" w:rsidP="00490ADD"/>
    <w:p w:rsidR="00490ADD" w:rsidRPr="00542A3A" w:rsidRDefault="00490ADD" w:rsidP="00490ADD">
      <w:pPr>
        <w:rPr>
          <w:rFonts w:cs="Arial"/>
          <w:b/>
        </w:rPr>
      </w:pPr>
    </w:p>
    <w:p w:rsidR="00490ADD" w:rsidRDefault="00490ADD" w:rsidP="00490ADD">
      <w:pPr>
        <w:rPr>
          <w:rFonts w:cs="Arial"/>
          <w:b/>
        </w:rPr>
      </w:pPr>
    </w:p>
    <w:p w:rsidR="00490ADD" w:rsidRPr="00542A3A" w:rsidRDefault="00490ADD" w:rsidP="00490ADD">
      <w:pPr>
        <w:rPr>
          <w:rFonts w:cs="Arial"/>
          <w:b/>
        </w:rPr>
      </w:pPr>
    </w:p>
    <w:p w:rsidR="00490ADD" w:rsidRPr="00542A3A" w:rsidRDefault="00490ADD" w:rsidP="00490ADD">
      <w:pPr>
        <w:tabs>
          <w:tab w:val="left" w:pos="3791"/>
        </w:tabs>
        <w:rPr>
          <w:rFonts w:cs="Arial"/>
          <w:b/>
        </w:rPr>
      </w:pPr>
    </w:p>
    <w:p w:rsidR="00490ADD" w:rsidRPr="00542A3A" w:rsidRDefault="00490ADD" w:rsidP="00490ADD">
      <w:pPr>
        <w:rPr>
          <w:rFonts w:cs="Arial"/>
          <w:b/>
        </w:rPr>
      </w:pPr>
    </w:p>
    <w:p w:rsidR="00490ADD" w:rsidRPr="00542A3A" w:rsidRDefault="00543809" w:rsidP="00490ADD">
      <w:pPr>
        <w:rPr>
          <w:rFonts w:cs="Arial"/>
          <w:b/>
        </w:rPr>
      </w:pPr>
      <w:r>
        <w:rPr>
          <w:noProof/>
        </w:rPr>
        <w:drawing>
          <wp:anchor distT="0" distB="0" distL="114300" distR="114300" simplePos="0" relativeHeight="251662336" behindDoc="0" locked="1" layoutInCell="1" allowOverlap="1" wp14:anchorId="42554BE3" wp14:editId="5D4D2A0A">
            <wp:simplePos x="0" y="0"/>
            <wp:positionH relativeFrom="page">
              <wp:posOffset>5986145</wp:posOffset>
            </wp:positionH>
            <wp:positionV relativeFrom="page">
              <wp:posOffset>438785</wp:posOffset>
            </wp:positionV>
            <wp:extent cx="1130300" cy="19075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8"/>
                    <a:stretch>
                      <a:fillRect/>
                    </a:stretch>
                  </pic:blipFill>
                  <pic:spPr>
                    <a:xfrm>
                      <a:off x="0" y="0"/>
                      <a:ext cx="1130300" cy="1907540"/>
                    </a:xfrm>
                    <a:prstGeom prst="rect">
                      <a:avLst/>
                    </a:prstGeom>
                  </pic:spPr>
                </pic:pic>
              </a:graphicData>
            </a:graphic>
            <wp14:sizeRelH relativeFrom="page">
              <wp14:pctWidth>0</wp14:pctWidth>
            </wp14:sizeRelH>
            <wp14:sizeRelV relativeFrom="page">
              <wp14:pctHeight>0</wp14:pctHeight>
            </wp14:sizeRelV>
          </wp:anchor>
        </w:drawing>
      </w:r>
      <w:r w:rsidR="00490ADD">
        <w:rPr>
          <w:rFonts w:cs="Arial"/>
          <w:b/>
          <w:noProof/>
          <w:lang w:eastAsia="en-AU"/>
        </w:rPr>
        <mc:AlternateContent>
          <mc:Choice Requires="wps">
            <w:drawing>
              <wp:anchor distT="0" distB="0" distL="114300" distR="0" simplePos="0" relativeHeight="251660288" behindDoc="0" locked="1" layoutInCell="1" allowOverlap="0" wp14:anchorId="7452B505" wp14:editId="23F77688">
                <wp:simplePos x="0" y="0"/>
                <wp:positionH relativeFrom="page">
                  <wp:posOffset>5800725</wp:posOffset>
                </wp:positionH>
                <wp:positionV relativeFrom="page">
                  <wp:posOffset>2466975</wp:posOffset>
                </wp:positionV>
                <wp:extent cx="1283970" cy="1228725"/>
                <wp:effectExtent l="0" t="0" r="0" b="9525"/>
                <wp:wrapSquare wrapText="left"/>
                <wp:docPr id="7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4DC" w:rsidRDefault="00B454DC" w:rsidP="0010772A">
                            <w:pPr>
                              <w:spacing w:after="80"/>
                              <w:rPr>
                                <w:sz w:val="14"/>
                                <w:szCs w:val="14"/>
                              </w:rPr>
                            </w:pPr>
                            <w:r>
                              <w:rPr>
                                <w:sz w:val="14"/>
                                <w:szCs w:val="14"/>
                              </w:rPr>
                              <w:t>Moreland City Council</w:t>
                            </w:r>
                          </w:p>
                          <w:p w:rsidR="00B454DC" w:rsidRDefault="00B454DC" w:rsidP="0010772A">
                            <w:pPr>
                              <w:spacing w:after="80"/>
                              <w:rPr>
                                <w:sz w:val="14"/>
                                <w:szCs w:val="14"/>
                              </w:rPr>
                            </w:pPr>
                            <w:r>
                              <w:rPr>
                                <w:sz w:val="14"/>
                                <w:szCs w:val="14"/>
                              </w:rPr>
                              <w:t>90 Bell Street</w:t>
                            </w:r>
                          </w:p>
                          <w:p w:rsidR="00B454DC" w:rsidRDefault="00B454DC" w:rsidP="0010772A">
                            <w:pPr>
                              <w:spacing w:after="80"/>
                              <w:rPr>
                                <w:sz w:val="14"/>
                                <w:szCs w:val="14"/>
                              </w:rPr>
                            </w:pPr>
                            <w:r>
                              <w:rPr>
                                <w:sz w:val="14"/>
                                <w:szCs w:val="14"/>
                              </w:rPr>
                              <w:t xml:space="preserve">Coburg Victoria 3058 </w:t>
                            </w:r>
                          </w:p>
                          <w:p w:rsidR="00B454DC" w:rsidRDefault="00B454DC" w:rsidP="0010772A">
                            <w:pPr>
                              <w:spacing w:after="80"/>
                              <w:rPr>
                                <w:sz w:val="14"/>
                                <w:szCs w:val="14"/>
                              </w:rPr>
                            </w:pPr>
                            <w:r>
                              <w:rPr>
                                <w:sz w:val="14"/>
                                <w:szCs w:val="14"/>
                              </w:rPr>
                              <w:t>Telephone 61 3</w:t>
                            </w:r>
                            <w:r>
                              <w:rPr>
                                <w:rStyle w:val="apple-converted-space"/>
                                <w:rFonts w:cs="Arial"/>
                                <w:color w:val="333333"/>
                                <w:sz w:val="14"/>
                                <w:szCs w:val="14"/>
                                <w:shd w:val="clear" w:color="auto" w:fill="FFFFFF"/>
                              </w:rPr>
                              <w:t> </w:t>
                            </w:r>
                            <w:r w:rsidRPr="00EB5272">
                              <w:rPr>
                                <w:sz w:val="14"/>
                                <w:szCs w:val="14"/>
                              </w:rPr>
                              <w:t>9240 1111</w:t>
                            </w:r>
                          </w:p>
                          <w:p w:rsidR="00B454DC" w:rsidRDefault="00B454DC" w:rsidP="0010772A">
                            <w:pPr>
                              <w:spacing w:after="80"/>
                              <w:rPr>
                                <w:sz w:val="14"/>
                                <w:szCs w:val="14"/>
                              </w:rPr>
                            </w:pPr>
                            <w:r>
                              <w:rPr>
                                <w:sz w:val="14"/>
                                <w:szCs w:val="14"/>
                              </w:rPr>
                              <w:t xml:space="preserve">Facsimile 61 3 </w:t>
                            </w:r>
                            <w:r w:rsidRPr="00EB5272">
                              <w:rPr>
                                <w:sz w:val="14"/>
                                <w:szCs w:val="14"/>
                              </w:rPr>
                              <w:t>9240 1212</w:t>
                            </w:r>
                          </w:p>
                          <w:p w:rsidR="00B454DC" w:rsidRDefault="00B454DC" w:rsidP="0010772A">
                            <w:pPr>
                              <w:spacing w:after="80"/>
                              <w:rPr>
                                <w:sz w:val="14"/>
                                <w:szCs w:val="14"/>
                              </w:rPr>
                            </w:pPr>
                            <w:r w:rsidRPr="00EB5272">
                              <w:rPr>
                                <w:sz w:val="14"/>
                                <w:szCs w:val="14"/>
                              </w:rPr>
                              <w:t>info@moreland.vic.gov.au</w:t>
                            </w:r>
                          </w:p>
                          <w:p w:rsidR="00B454DC" w:rsidRPr="00487D8D" w:rsidRDefault="00B454DC" w:rsidP="0010772A">
                            <w:pPr>
                              <w:spacing w:after="80"/>
                              <w:rPr>
                                <w:sz w:val="14"/>
                                <w:szCs w:val="14"/>
                                <w:lang w:val="fr-FR"/>
                              </w:rPr>
                            </w:pPr>
                            <w:r>
                              <w:rPr>
                                <w:sz w:val="14"/>
                                <w:szCs w:val="14"/>
                                <w:lang w:val="fr-FR"/>
                              </w:rPr>
                              <w:t>www.moreland.vic.gov.au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2B505" id="_x0000_t202" coordsize="21600,21600" o:spt="202" path="m,l,21600r21600,l21600,xe">
                <v:stroke joinstyle="miter"/>
                <v:path gradientshapeok="t" o:connecttype="rect"/>
              </v:shapetype>
              <v:shape id="Text Box 38" o:spid="_x0000_s1026" type="#_x0000_t202" style="position:absolute;margin-left:456.75pt;margin-top:194.25pt;width:101.1pt;height:96.75pt;z-index:251660288;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zDtgIAAL0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gVYJ2kGTHtho0K0c0WVsCzT0OgW/+x48zQjn0GhHVvd3svyqkZCrhootu1FKDg2jFSQY2pv+&#10;2dUJR1uQzfBBVhCH7ox0QGOtOls9qAcCdGjU46k5NpfShoziy2QBphJsYRTFi2jmYtD0eL1X2rxj&#10;skN2kWEF3XfwdH+njU2HpkcXG03IgretU0Arnh2A43QCweGqtdk0XEN/JEGyjtcx8Ug0X3skyHPv&#10;plgRb16Ei1l+ma9WefjTxg1J2vCqYsKGOYorJH/WvIPMJ1mc5KVlyysLZ1PSartZtQrtKYi7cN+h&#10;IGdu/vM0XBGAywtKYUSC2yjxinm88EhBZh6UOvaCMLlN5gFJSF48p3THBft3SmjIcDKDPjo6v+UW&#10;uO81N5p23MD4aHmX4fjkRFOrwbWoXGsN5e20PiuFTf+pFNDuY6OdYq1IJ7macTMCipXxRlaPoF0l&#10;QVmgQph5sGik+o7RAPMjw/rbjiqGUftegP6TkBA7cNyGzBYRbNS5ZXNuoaIEqAwbjKblykxDatcr&#10;vm0g0vTihLyBN1Nzp+anrA4vDWaEI3WYZ3YIne+d19PUXf4CAAD//wMAUEsDBBQABgAIAAAAIQB0&#10;Fp9E4AAAAAwBAAAPAAAAZHJzL2Rvd25yZXYueG1sTI/BTsMwDIbvSHuHyJO4saQbHV2pOyEQVxAb&#10;IHHLGq+taJyqydby9mQnuNnyp9/fX2wn24kzDb51jJAsFAjiypmWa4T3/fNNBsIHzUZ3jgnhhzxs&#10;y9lVoXPjRn6j8y7UIoawzzVCE0KfS+mrhqz2C9cTx9vRDVaHuA61NIMeY7jt5FKptbS65fih0T09&#10;NlR9704W4ePl+PV5q17rJ5v2o5uUZLuRiNfz6eEeRKAp/MFw0Y/qUEangzux8aJD2CSrNKIIqyyL&#10;w4VIkvQOxAEhzZYKZFnI/yXKXwAAAP//AwBQSwECLQAUAAYACAAAACEAtoM4kv4AAADhAQAAEwAA&#10;AAAAAAAAAAAAAAAAAAAAW0NvbnRlbnRfVHlwZXNdLnhtbFBLAQItABQABgAIAAAAIQA4/SH/1gAA&#10;AJQBAAALAAAAAAAAAAAAAAAAAC8BAABfcmVscy8ucmVsc1BLAQItABQABgAIAAAAIQD0GOzDtgIA&#10;AL0FAAAOAAAAAAAAAAAAAAAAAC4CAABkcnMvZTJvRG9jLnhtbFBLAQItABQABgAIAAAAIQB0Fp9E&#10;4AAAAAwBAAAPAAAAAAAAAAAAAAAAABAFAABkcnMvZG93bnJldi54bWxQSwUGAAAAAAQABADzAAAA&#10;HQYAAAAA&#10;" o:allowoverlap="f" filled="f" stroked="f">
                <v:textbox>
                  <w:txbxContent>
                    <w:p w:rsidR="00B454DC" w:rsidRDefault="00B454DC" w:rsidP="0010772A">
                      <w:pPr>
                        <w:spacing w:after="80"/>
                        <w:rPr>
                          <w:sz w:val="14"/>
                          <w:szCs w:val="14"/>
                        </w:rPr>
                      </w:pPr>
                      <w:r>
                        <w:rPr>
                          <w:sz w:val="14"/>
                          <w:szCs w:val="14"/>
                        </w:rPr>
                        <w:t>Moreland City Council</w:t>
                      </w:r>
                    </w:p>
                    <w:p w:rsidR="00B454DC" w:rsidRDefault="00B454DC" w:rsidP="0010772A">
                      <w:pPr>
                        <w:spacing w:after="80"/>
                        <w:rPr>
                          <w:sz w:val="14"/>
                          <w:szCs w:val="14"/>
                        </w:rPr>
                      </w:pPr>
                      <w:r>
                        <w:rPr>
                          <w:sz w:val="14"/>
                          <w:szCs w:val="14"/>
                        </w:rPr>
                        <w:t>90 Bell Street</w:t>
                      </w:r>
                    </w:p>
                    <w:p w:rsidR="00B454DC" w:rsidRDefault="00B454DC" w:rsidP="0010772A">
                      <w:pPr>
                        <w:spacing w:after="80"/>
                        <w:rPr>
                          <w:sz w:val="14"/>
                          <w:szCs w:val="14"/>
                        </w:rPr>
                      </w:pPr>
                      <w:r>
                        <w:rPr>
                          <w:sz w:val="14"/>
                          <w:szCs w:val="14"/>
                        </w:rPr>
                        <w:t xml:space="preserve">Coburg Victoria 3058 </w:t>
                      </w:r>
                    </w:p>
                    <w:p w:rsidR="00B454DC" w:rsidRDefault="00B454DC" w:rsidP="0010772A">
                      <w:pPr>
                        <w:spacing w:after="80"/>
                        <w:rPr>
                          <w:sz w:val="14"/>
                          <w:szCs w:val="14"/>
                        </w:rPr>
                      </w:pPr>
                      <w:r>
                        <w:rPr>
                          <w:sz w:val="14"/>
                          <w:szCs w:val="14"/>
                        </w:rPr>
                        <w:t>Telephone 61 3</w:t>
                      </w:r>
                      <w:r>
                        <w:rPr>
                          <w:rStyle w:val="apple-converted-space"/>
                          <w:rFonts w:cs="Arial"/>
                          <w:color w:val="333333"/>
                          <w:sz w:val="14"/>
                          <w:szCs w:val="14"/>
                          <w:shd w:val="clear" w:color="auto" w:fill="FFFFFF"/>
                        </w:rPr>
                        <w:t> </w:t>
                      </w:r>
                      <w:r w:rsidRPr="00EB5272">
                        <w:rPr>
                          <w:sz w:val="14"/>
                          <w:szCs w:val="14"/>
                        </w:rPr>
                        <w:t>9240 1111</w:t>
                      </w:r>
                    </w:p>
                    <w:p w:rsidR="00B454DC" w:rsidRDefault="00B454DC" w:rsidP="0010772A">
                      <w:pPr>
                        <w:spacing w:after="80"/>
                        <w:rPr>
                          <w:sz w:val="14"/>
                          <w:szCs w:val="14"/>
                        </w:rPr>
                      </w:pPr>
                      <w:r>
                        <w:rPr>
                          <w:sz w:val="14"/>
                          <w:szCs w:val="14"/>
                        </w:rPr>
                        <w:t xml:space="preserve">Facsimile 61 3 </w:t>
                      </w:r>
                      <w:r w:rsidRPr="00EB5272">
                        <w:rPr>
                          <w:sz w:val="14"/>
                          <w:szCs w:val="14"/>
                        </w:rPr>
                        <w:t>9240 1212</w:t>
                      </w:r>
                    </w:p>
                    <w:p w:rsidR="00B454DC" w:rsidRDefault="00B454DC" w:rsidP="0010772A">
                      <w:pPr>
                        <w:spacing w:after="80"/>
                        <w:rPr>
                          <w:sz w:val="14"/>
                          <w:szCs w:val="14"/>
                        </w:rPr>
                      </w:pPr>
                      <w:r w:rsidRPr="00EB5272">
                        <w:rPr>
                          <w:sz w:val="14"/>
                          <w:szCs w:val="14"/>
                        </w:rPr>
                        <w:t>info@moreland.vic.gov.au</w:t>
                      </w:r>
                    </w:p>
                    <w:p w:rsidR="00B454DC" w:rsidRPr="00487D8D" w:rsidRDefault="00B454DC" w:rsidP="0010772A">
                      <w:pPr>
                        <w:spacing w:after="80"/>
                        <w:rPr>
                          <w:sz w:val="14"/>
                          <w:szCs w:val="14"/>
                          <w:lang w:val="fr-FR"/>
                        </w:rPr>
                      </w:pPr>
                      <w:r>
                        <w:rPr>
                          <w:sz w:val="14"/>
                          <w:szCs w:val="14"/>
                          <w:lang w:val="fr-FR"/>
                        </w:rPr>
                        <w:t>www.moreland.vic.gov.au</w:t>
                      </w:r>
                    </w:p>
                  </w:txbxContent>
                </v:textbox>
                <w10:wrap type="square" side="left" anchorx="page" anchory="page"/>
                <w10:anchorlock/>
              </v:shape>
            </w:pict>
          </mc:Fallback>
        </mc:AlternateContent>
      </w: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543809" w:rsidRPr="00543809" w:rsidRDefault="00E649D9" w:rsidP="00543809">
      <w:pPr>
        <w:pStyle w:val="Subtitle"/>
        <w:rPr>
          <w:color w:val="auto"/>
        </w:rPr>
      </w:pPr>
      <w:r>
        <w:rPr>
          <w:color w:val="auto"/>
          <w:lang w:val="en-US"/>
        </w:rPr>
        <w:t xml:space="preserve">Part </w:t>
      </w:r>
      <w:r w:rsidR="0086297B">
        <w:rPr>
          <w:color w:val="auto"/>
          <w:lang w:val="en-US"/>
        </w:rPr>
        <w:t>C</w:t>
      </w:r>
      <w:r w:rsidR="00D042FA">
        <w:rPr>
          <w:color w:val="auto"/>
          <w:lang w:val="en-US"/>
        </w:rPr>
        <w:t xml:space="preserve"> </w:t>
      </w:r>
      <w:r w:rsidR="004930CB">
        <w:rPr>
          <w:color w:val="auto"/>
          <w:lang w:val="en-US"/>
        </w:rPr>
        <w:t>(1)</w:t>
      </w:r>
      <w:r>
        <w:rPr>
          <w:color w:val="auto"/>
          <w:lang w:val="en-US"/>
        </w:rPr>
        <w:t xml:space="preserve"> - </w:t>
      </w:r>
      <w:r w:rsidR="00543809" w:rsidRPr="00543809">
        <w:rPr>
          <w:color w:val="auto"/>
          <w:lang w:val="en-US"/>
        </w:rPr>
        <w:t>Submission by the Planning Authority Moreland City Council</w:t>
      </w:r>
    </w:p>
    <w:p w:rsidR="00EF5575" w:rsidRDefault="00EF5575" w:rsidP="00490ADD">
      <w:pPr>
        <w:pStyle w:val="covBodyText"/>
        <w:ind w:left="0"/>
        <w:rPr>
          <w:rFonts w:eastAsiaTheme="minorEastAsia" w:cs="Arial"/>
          <w:kern w:val="21"/>
          <w:sz w:val="28"/>
          <w:szCs w:val="28"/>
          <w:lang w:val="en-US"/>
        </w:rPr>
      </w:pPr>
    </w:p>
    <w:p w:rsidR="0086297B" w:rsidRPr="0086297B" w:rsidRDefault="0086297B" w:rsidP="00490ADD">
      <w:pPr>
        <w:pStyle w:val="covBodyText"/>
        <w:ind w:left="0"/>
        <w:rPr>
          <w:rFonts w:ascii="Nunito Sans ExtraBold" w:eastAsiaTheme="minorEastAsia" w:hAnsi="Nunito Sans ExtraBold" w:cs="Arial"/>
          <w:kern w:val="21"/>
          <w:sz w:val="36"/>
          <w:szCs w:val="36"/>
          <w:lang w:val="en-US"/>
        </w:rPr>
      </w:pPr>
      <w:r w:rsidRPr="0086297B">
        <w:rPr>
          <w:rFonts w:ascii="Nunito Sans ExtraBold" w:eastAsiaTheme="minorEastAsia" w:hAnsi="Nunito Sans ExtraBold" w:cs="Arial"/>
          <w:kern w:val="21"/>
          <w:sz w:val="36"/>
          <w:szCs w:val="36"/>
          <w:lang w:val="en-US"/>
        </w:rPr>
        <w:t>Right of reply</w:t>
      </w:r>
    </w:p>
    <w:p w:rsidR="0086297B" w:rsidRDefault="0086297B" w:rsidP="00490ADD">
      <w:pPr>
        <w:pStyle w:val="covBodyText"/>
        <w:ind w:left="0"/>
        <w:rPr>
          <w:rFonts w:eastAsiaTheme="minorEastAsia" w:cs="Arial"/>
          <w:kern w:val="21"/>
          <w:sz w:val="28"/>
          <w:szCs w:val="28"/>
          <w:lang w:val="en-US"/>
        </w:rPr>
      </w:pPr>
    </w:p>
    <w:p w:rsidR="00EF5575" w:rsidRPr="00EF5575" w:rsidRDefault="00EF5575" w:rsidP="00490ADD">
      <w:pPr>
        <w:pStyle w:val="covBodyText"/>
        <w:ind w:left="0"/>
        <w:rPr>
          <w:rFonts w:eastAsiaTheme="minorEastAsia" w:cs="Arial"/>
          <w:kern w:val="21"/>
          <w:sz w:val="28"/>
          <w:szCs w:val="28"/>
          <w:lang w:val="en-US"/>
        </w:rPr>
      </w:pPr>
      <w:r w:rsidRPr="00EF5575">
        <w:rPr>
          <w:rFonts w:eastAsiaTheme="minorEastAsia" w:cs="Arial"/>
          <w:kern w:val="21"/>
          <w:sz w:val="28"/>
          <w:szCs w:val="28"/>
          <w:lang w:val="en-US"/>
        </w:rPr>
        <w:t>Planning Scheme Amendment C</w:t>
      </w:r>
      <w:r w:rsidR="00E649D9">
        <w:rPr>
          <w:rFonts w:eastAsiaTheme="minorEastAsia" w:cs="Arial"/>
          <w:kern w:val="21"/>
          <w:sz w:val="28"/>
          <w:szCs w:val="28"/>
          <w:lang w:val="en-US"/>
        </w:rPr>
        <w:t>208more</w:t>
      </w:r>
    </w:p>
    <w:p w:rsidR="00490ADD" w:rsidRPr="00EF5575" w:rsidRDefault="00E649D9" w:rsidP="00490ADD">
      <w:pPr>
        <w:pStyle w:val="covBodyText"/>
        <w:ind w:left="0"/>
        <w:rPr>
          <w:rFonts w:eastAsiaTheme="minorEastAsia" w:cs="Arial"/>
          <w:kern w:val="21"/>
          <w:sz w:val="28"/>
          <w:szCs w:val="28"/>
          <w:lang w:val="en-US"/>
        </w:rPr>
      </w:pPr>
      <w:r>
        <w:rPr>
          <w:rFonts w:eastAsiaTheme="minorEastAsia" w:cs="Arial"/>
          <w:kern w:val="21"/>
          <w:sz w:val="28"/>
          <w:szCs w:val="28"/>
          <w:lang w:val="en-US"/>
        </w:rPr>
        <w:t xml:space="preserve">Implementation of the </w:t>
      </w:r>
      <w:r w:rsidR="00986A89">
        <w:rPr>
          <w:rFonts w:eastAsiaTheme="minorEastAsia" w:cs="Arial"/>
          <w:kern w:val="21"/>
          <w:sz w:val="28"/>
          <w:szCs w:val="28"/>
          <w:lang w:val="en-US"/>
        </w:rPr>
        <w:t xml:space="preserve">Moreland </w:t>
      </w:r>
      <w:r>
        <w:rPr>
          <w:rFonts w:eastAsiaTheme="minorEastAsia" w:cs="Arial"/>
          <w:kern w:val="21"/>
          <w:sz w:val="28"/>
          <w:szCs w:val="28"/>
          <w:lang w:val="en-US"/>
        </w:rPr>
        <w:t>Heritage Nominations Study</w:t>
      </w:r>
    </w:p>
    <w:p w:rsidR="00490ADD" w:rsidRDefault="00490ADD" w:rsidP="00490ADD">
      <w:pPr>
        <w:rPr>
          <w:rFonts w:cs="Arial"/>
          <w:b/>
        </w:rPr>
      </w:pPr>
    </w:p>
    <w:p w:rsidR="00490ADD" w:rsidRPr="00542A3A" w:rsidRDefault="0086297B" w:rsidP="00490ADD">
      <w:pPr>
        <w:rPr>
          <w:rFonts w:cs="Arial"/>
          <w:b/>
        </w:rPr>
      </w:pPr>
      <w:r>
        <w:rPr>
          <w:rFonts w:cs="Arial"/>
          <w:b/>
        </w:rPr>
        <w:t>3</w:t>
      </w:r>
      <w:r w:rsidR="00E649D9" w:rsidRPr="009F5631">
        <w:rPr>
          <w:rFonts w:cs="Arial"/>
          <w:b/>
        </w:rPr>
        <w:t xml:space="preserve"> </w:t>
      </w:r>
      <w:r>
        <w:rPr>
          <w:rFonts w:cs="Arial"/>
          <w:b/>
        </w:rPr>
        <w:t>March</w:t>
      </w:r>
      <w:r w:rsidR="00750159" w:rsidRPr="009F5631">
        <w:rPr>
          <w:rFonts w:cs="Arial"/>
          <w:b/>
        </w:rPr>
        <w:t xml:space="preserve"> </w:t>
      </w:r>
      <w:r w:rsidR="00490ADD" w:rsidRPr="009F5631">
        <w:rPr>
          <w:rFonts w:cs="Arial"/>
          <w:b/>
        </w:rPr>
        <w:t>20</w:t>
      </w:r>
      <w:r w:rsidR="00E649D9" w:rsidRPr="009F5631">
        <w:rPr>
          <w:rFonts w:cs="Arial"/>
          <w:b/>
        </w:rPr>
        <w:t>22</w:t>
      </w:r>
    </w:p>
    <w:p w:rsidR="00490ADD" w:rsidRDefault="00490ADD" w:rsidP="00490ADD">
      <w:pPr>
        <w:rPr>
          <w:rFonts w:cs="Arial"/>
          <w:b/>
          <w:noProof/>
          <w:lang w:eastAsia="en-AU"/>
        </w:rPr>
      </w:pPr>
    </w:p>
    <w:p w:rsidR="00490ADD" w:rsidRDefault="00490ADD" w:rsidP="00490ADD">
      <w:pPr>
        <w:rPr>
          <w:rFonts w:cs="Arial"/>
          <w:b/>
          <w:noProof/>
          <w:lang w:eastAsia="en-AU"/>
        </w:rPr>
      </w:pPr>
    </w:p>
    <w:p w:rsidR="00490ADD" w:rsidRDefault="00490ADD" w:rsidP="00490ADD">
      <w:pPr>
        <w:rPr>
          <w:rFonts w:cs="Arial"/>
          <w:b/>
          <w:noProof/>
          <w:lang w:eastAsia="en-AU"/>
        </w:rPr>
      </w:pPr>
    </w:p>
    <w:p w:rsidR="00490ADD" w:rsidRPr="00542A3A" w:rsidRDefault="00490ADD" w:rsidP="00490ADD">
      <w:pPr>
        <w:rPr>
          <w:rFonts w:cs="Arial"/>
          <w:b/>
        </w:rPr>
      </w:pPr>
    </w:p>
    <w:p w:rsidR="00490ADD" w:rsidRPr="00542A3A" w:rsidRDefault="00490ADD" w:rsidP="00490ADD">
      <w:pPr>
        <w:rPr>
          <w:rFonts w:cs="Arial"/>
          <w:b/>
        </w:rPr>
      </w:pPr>
    </w:p>
    <w:p w:rsidR="00490ADD" w:rsidRPr="00542A3A" w:rsidRDefault="00490ADD" w:rsidP="00490ADD">
      <w:pPr>
        <w:rPr>
          <w:rFonts w:cs="Arial"/>
          <w:b/>
        </w:rPr>
      </w:pPr>
    </w:p>
    <w:p w:rsidR="00490ADD" w:rsidRDefault="00490ADD" w:rsidP="00490ADD">
      <w:pPr>
        <w:rPr>
          <w:rFonts w:cs="Arial"/>
          <w:b/>
        </w:rPr>
      </w:pPr>
    </w:p>
    <w:p w:rsidR="00650D1D" w:rsidRPr="00A75885" w:rsidRDefault="00543809">
      <w:pPr>
        <w:rPr>
          <w:rFonts w:cs="Arial"/>
          <w:b/>
        </w:rPr>
      </w:pPr>
      <w:r w:rsidRPr="001015D7">
        <w:rPr>
          <w:rFonts w:cs="Arial"/>
          <w:b/>
        </w:rPr>
        <w:t>TRIM: D2</w:t>
      </w:r>
      <w:r w:rsidR="00E649D9" w:rsidRPr="001015D7">
        <w:rPr>
          <w:rFonts w:cs="Arial"/>
          <w:b/>
        </w:rPr>
        <w:t>2/</w:t>
      </w:r>
      <w:r w:rsidR="000B4B3A">
        <w:rPr>
          <w:rFonts w:cs="Arial"/>
          <w:b/>
        </w:rPr>
        <w:t>66181</w:t>
      </w:r>
      <w:r w:rsidR="00490ADD" w:rsidRPr="00542A3A">
        <w:rPr>
          <w:rFonts w:cs="Arial"/>
          <w:b/>
        </w:rPr>
        <w:br w:type="page"/>
      </w:r>
    </w:p>
    <w:p w:rsidR="00490ADD" w:rsidRPr="00C45B1C" w:rsidRDefault="00490ADD" w:rsidP="006416AF">
      <w:pPr>
        <w:pStyle w:val="Heading1"/>
        <w:numPr>
          <w:ilvl w:val="0"/>
          <w:numId w:val="12"/>
        </w:numPr>
        <w:spacing w:after="120"/>
        <w:ind w:left="426" w:hanging="426"/>
        <w:rPr>
          <w:rFonts w:ascii="Arial" w:hAnsi="Arial" w:cs="Arial"/>
          <w:b/>
          <w:color w:val="auto"/>
        </w:rPr>
      </w:pPr>
      <w:bookmarkStart w:id="0" w:name="_Toc96070175"/>
      <w:r w:rsidRPr="00C45B1C">
        <w:rPr>
          <w:rFonts w:ascii="Arial" w:hAnsi="Arial" w:cs="Arial"/>
          <w:b/>
          <w:color w:val="auto"/>
        </w:rPr>
        <w:lastRenderedPageBreak/>
        <w:t>Introduction</w:t>
      </w:r>
      <w:bookmarkEnd w:id="0"/>
    </w:p>
    <w:p w:rsidR="0086297B" w:rsidRPr="0086297B" w:rsidRDefault="00080B36" w:rsidP="00494AC2">
      <w:pPr>
        <w:pStyle w:val="ListParagraph"/>
        <w:numPr>
          <w:ilvl w:val="0"/>
          <w:numId w:val="1"/>
        </w:numPr>
        <w:spacing w:before="240" w:after="120" w:line="360" w:lineRule="auto"/>
        <w:ind w:left="425" w:hanging="425"/>
        <w:contextualSpacing w:val="0"/>
        <w:jc w:val="both"/>
        <w:rPr>
          <w:sz w:val="21"/>
          <w:szCs w:val="21"/>
        </w:rPr>
      </w:pPr>
      <w:r w:rsidRPr="0086297B">
        <w:rPr>
          <w:sz w:val="21"/>
          <w:szCs w:val="21"/>
        </w:rPr>
        <w:t>This</w:t>
      </w:r>
      <w:r w:rsidR="0086297B" w:rsidRPr="0086297B">
        <w:rPr>
          <w:sz w:val="21"/>
          <w:szCs w:val="21"/>
        </w:rPr>
        <w:t xml:space="preserve"> Part C submission is Council’s right of reply to issues and points of clarification that have been raised </w:t>
      </w:r>
      <w:r w:rsidR="009618F7">
        <w:rPr>
          <w:sz w:val="21"/>
          <w:szCs w:val="21"/>
        </w:rPr>
        <w:t>during the hearing</w:t>
      </w:r>
      <w:r w:rsidR="004930CB">
        <w:rPr>
          <w:sz w:val="21"/>
          <w:szCs w:val="21"/>
        </w:rPr>
        <w:t xml:space="preserve"> </w:t>
      </w:r>
      <w:r w:rsidR="0086297B" w:rsidRPr="0086297B">
        <w:rPr>
          <w:sz w:val="21"/>
          <w:szCs w:val="21"/>
        </w:rPr>
        <w:t>as follows:</w:t>
      </w:r>
    </w:p>
    <w:p w:rsidR="00C102DE" w:rsidRPr="004C2436" w:rsidRDefault="004C2436" w:rsidP="006416AF">
      <w:pPr>
        <w:pStyle w:val="Maintext"/>
        <w:numPr>
          <w:ilvl w:val="0"/>
          <w:numId w:val="13"/>
        </w:numPr>
        <w:rPr>
          <w:bCs/>
        </w:rPr>
      </w:pPr>
      <w:r w:rsidRPr="004C2436">
        <w:rPr>
          <w:bCs/>
        </w:rPr>
        <w:t xml:space="preserve">Local </w:t>
      </w:r>
      <w:r w:rsidR="00C102DE" w:rsidRPr="004C2436">
        <w:rPr>
          <w:bCs/>
        </w:rPr>
        <w:t>Heritage Study alignment with Practice Note</w:t>
      </w:r>
    </w:p>
    <w:p w:rsidR="00860EE4" w:rsidRPr="004C2436" w:rsidRDefault="00860EE4" w:rsidP="006416AF">
      <w:pPr>
        <w:pStyle w:val="Maintext"/>
        <w:numPr>
          <w:ilvl w:val="0"/>
          <w:numId w:val="13"/>
        </w:numPr>
        <w:rPr>
          <w:bCs/>
        </w:rPr>
      </w:pPr>
      <w:r w:rsidRPr="004C2436">
        <w:rPr>
          <w:bCs/>
        </w:rPr>
        <w:t xml:space="preserve">Social Significance </w:t>
      </w:r>
    </w:p>
    <w:p w:rsidR="005E12C4" w:rsidRPr="004C2436" w:rsidRDefault="005E12C4" w:rsidP="006416AF">
      <w:pPr>
        <w:pStyle w:val="Maintext"/>
        <w:numPr>
          <w:ilvl w:val="0"/>
          <w:numId w:val="13"/>
        </w:numPr>
        <w:rPr>
          <w:bCs/>
        </w:rPr>
      </w:pPr>
      <w:r w:rsidRPr="004C2436">
        <w:rPr>
          <w:bCs/>
        </w:rPr>
        <w:t>Internal Controls</w:t>
      </w:r>
    </w:p>
    <w:p w:rsidR="00860EE4" w:rsidRPr="004C2436" w:rsidRDefault="00860EE4" w:rsidP="006416AF">
      <w:pPr>
        <w:pStyle w:val="Maintext"/>
        <w:numPr>
          <w:ilvl w:val="0"/>
          <w:numId w:val="13"/>
        </w:numPr>
        <w:rPr>
          <w:bCs/>
        </w:rPr>
      </w:pPr>
      <w:r w:rsidRPr="004C2436">
        <w:rPr>
          <w:bCs/>
        </w:rPr>
        <w:t>Nominations process</w:t>
      </w:r>
    </w:p>
    <w:p w:rsidR="00526B25" w:rsidRPr="004C2436" w:rsidRDefault="00526B25" w:rsidP="006416AF">
      <w:pPr>
        <w:pStyle w:val="Maintext"/>
        <w:numPr>
          <w:ilvl w:val="0"/>
          <w:numId w:val="13"/>
        </w:numPr>
        <w:rPr>
          <w:bCs/>
        </w:rPr>
      </w:pPr>
      <w:r w:rsidRPr="004C2436">
        <w:rPr>
          <w:bCs/>
        </w:rPr>
        <w:t>Nomination of Lorreto</w:t>
      </w:r>
    </w:p>
    <w:p w:rsidR="005E12C4" w:rsidRPr="004C2436" w:rsidRDefault="005E12C4" w:rsidP="006416AF">
      <w:pPr>
        <w:pStyle w:val="Maintext"/>
        <w:numPr>
          <w:ilvl w:val="0"/>
          <w:numId w:val="13"/>
        </w:numPr>
        <w:rPr>
          <w:bCs/>
        </w:rPr>
      </w:pPr>
      <w:r w:rsidRPr="004C2436">
        <w:rPr>
          <w:bCs/>
        </w:rPr>
        <w:t>Consultation</w:t>
      </w:r>
    </w:p>
    <w:p w:rsidR="005E12C4" w:rsidRDefault="005E12C4" w:rsidP="006416AF">
      <w:pPr>
        <w:pStyle w:val="Maintext"/>
        <w:numPr>
          <w:ilvl w:val="0"/>
          <w:numId w:val="13"/>
        </w:numPr>
        <w:rPr>
          <w:bCs/>
        </w:rPr>
      </w:pPr>
      <w:r w:rsidRPr="004C2436">
        <w:rPr>
          <w:bCs/>
        </w:rPr>
        <w:t>HO172 The Grove</w:t>
      </w:r>
      <w:r w:rsidR="00942623" w:rsidRPr="004C2436">
        <w:rPr>
          <w:bCs/>
        </w:rPr>
        <w:t>/Sydney Road</w:t>
      </w:r>
      <w:r w:rsidRPr="004C2436">
        <w:rPr>
          <w:bCs/>
        </w:rPr>
        <w:t xml:space="preserve"> Precinct and 31 The Avenue, Coburg</w:t>
      </w:r>
    </w:p>
    <w:p w:rsidR="004C2436" w:rsidRPr="004C2436" w:rsidRDefault="004C2436" w:rsidP="004C2436">
      <w:pPr>
        <w:pStyle w:val="Maintext"/>
        <w:numPr>
          <w:ilvl w:val="0"/>
          <w:numId w:val="13"/>
        </w:numPr>
        <w:rPr>
          <w:bCs/>
        </w:rPr>
      </w:pPr>
      <w:r w:rsidRPr="004C2436">
        <w:rPr>
          <w:rFonts w:cs="Arial"/>
          <w:bCs/>
          <w:color w:val="000000"/>
          <w:lang w:eastAsia="en-AU"/>
        </w:rPr>
        <w:t>Extension to HO85 - Glenmorgan Street Precinct</w:t>
      </w:r>
    </w:p>
    <w:p w:rsidR="005E12C4" w:rsidRPr="004C2436" w:rsidRDefault="004C2436" w:rsidP="006416AF">
      <w:pPr>
        <w:pStyle w:val="Maintext"/>
        <w:numPr>
          <w:ilvl w:val="0"/>
          <w:numId w:val="13"/>
        </w:numPr>
        <w:rPr>
          <w:bCs/>
        </w:rPr>
      </w:pPr>
      <w:r w:rsidRPr="004C2436">
        <w:rPr>
          <w:bCs/>
        </w:rPr>
        <w:t xml:space="preserve">Response to </w:t>
      </w:r>
      <w:r w:rsidR="001E204D" w:rsidRPr="004C2436">
        <w:rPr>
          <w:bCs/>
        </w:rPr>
        <w:t xml:space="preserve">Submission 3: 26 </w:t>
      </w:r>
      <w:r w:rsidR="005E12C4" w:rsidRPr="004C2436">
        <w:rPr>
          <w:bCs/>
        </w:rPr>
        <w:t>Walsh Street</w:t>
      </w:r>
      <w:r w:rsidR="001E204D" w:rsidRPr="004C2436">
        <w:rPr>
          <w:bCs/>
        </w:rPr>
        <w:t>, Coburg</w:t>
      </w:r>
    </w:p>
    <w:p w:rsidR="004C2436" w:rsidRPr="004C2436" w:rsidRDefault="005E12C4" w:rsidP="004C2436">
      <w:pPr>
        <w:pStyle w:val="Maintext"/>
        <w:numPr>
          <w:ilvl w:val="0"/>
          <w:numId w:val="13"/>
        </w:numPr>
        <w:rPr>
          <w:bCs/>
        </w:rPr>
      </w:pPr>
      <w:r w:rsidRPr="004C2436">
        <w:rPr>
          <w:bCs/>
        </w:rPr>
        <w:t xml:space="preserve">28 McMahons Road, </w:t>
      </w:r>
      <w:r w:rsidR="001E204D" w:rsidRPr="004C2436">
        <w:rPr>
          <w:bCs/>
        </w:rPr>
        <w:t>Coburg North</w:t>
      </w:r>
      <w:r w:rsidRPr="004C2436">
        <w:rPr>
          <w:bCs/>
        </w:rPr>
        <w:t xml:space="preserve"> Paint Controls</w:t>
      </w:r>
    </w:p>
    <w:p w:rsidR="004930CB" w:rsidRPr="009618F7" w:rsidRDefault="004C2436" w:rsidP="009618F7">
      <w:pPr>
        <w:pStyle w:val="Maintext"/>
        <w:numPr>
          <w:ilvl w:val="0"/>
          <w:numId w:val="13"/>
        </w:numPr>
        <w:rPr>
          <w:bCs/>
        </w:rPr>
      </w:pPr>
      <w:r w:rsidRPr="004C2436">
        <w:rPr>
          <w:bCs/>
        </w:rPr>
        <w:t>Approach for CERES Park and Joe’s Market Garden</w:t>
      </w:r>
    </w:p>
    <w:p w:rsidR="00A75885" w:rsidRPr="007B1693" w:rsidRDefault="00A75885" w:rsidP="00A75885">
      <w:pPr>
        <w:pStyle w:val="Maintext"/>
        <w:ind w:firstLine="0"/>
      </w:pPr>
      <w:r w:rsidRPr="00476E05">
        <w:rPr>
          <w:rFonts w:cs="Arial"/>
          <w:b/>
          <w:noProof/>
        </w:rPr>
        <mc:AlternateContent>
          <mc:Choice Requires="wps">
            <w:drawing>
              <wp:anchor distT="0" distB="0" distL="114300" distR="114300" simplePos="0" relativeHeight="251665408" behindDoc="0" locked="0" layoutInCell="1" allowOverlap="1" wp14:anchorId="1A783634" wp14:editId="10C42F54">
                <wp:simplePos x="0" y="0"/>
                <wp:positionH relativeFrom="margin">
                  <wp:align>left</wp:align>
                </wp:positionH>
                <wp:positionV relativeFrom="paragraph">
                  <wp:posOffset>280913</wp:posOffset>
                </wp:positionV>
                <wp:extent cx="640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C5827" id="Straight Connector 3"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1pt" to="7in,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CH2QEAAA0EAAAOAAAAZHJzL2Uyb0RvYy54bWysU8Fu1DAQvSPxD5bv3WRbqEq02R62KhcE&#10;Kwof4DrjjSXbY9lmk/17xk42WwFCAvXixDPznuc9jzf3ozXsCCFqdC1fr2rOwEnstDu0/Pu3x6s7&#10;zmISrhMGHbT8BJHfb9++2Qy+gWvs0XQQGJG42Ay+5X1KvqmqKHuwIq7Qg6OkwmBFom04VF0QA7Fb&#10;U13X9W01YOh8QAkxUvRhSvJt4VcKZPqiVITETMupt1TWUNbnvFbbjWgOQfhey7kN8R9dWKEdHbpQ&#10;PYgk2I+gf6OyWgaMqNJKoq1QKS2haCA16/oXNU+98FC0kDnRLzbF16OVn4/7wHTX8hvOnLB0RU8p&#10;CH3oE9uhc2QgBnaTfRp8bKh85/Zh3kW/D1n0qILNX5LDxuLtafEWxsQkBW/f1fVdTVcgz7nqAvQh&#10;po+AluWflhvtsmzRiOOnmOgwKj2X5LBxbKBh+1C/r0tZRKO7R21MTpbRgZ0J7Cjo0tO4zs0Tw4sq&#10;2hlHwSxpElH+0snAxP8VFJlCba+nA/I4XjiFlODSmdc4qs4wRR0swLmzvwHn+gyFMqr/Al4Q5WR0&#10;aQFb7TD8qe2LFWqqPzsw6c4WPGN3KtdbrKGZK87N7yMP9ct9gV9e8fYnAAAA//8DAFBLAwQUAAYA&#10;CAAAACEAB4usEd0AAAAHAQAADwAAAGRycy9kb3ducmV2LnhtbEyPQU/CQBCF7yT+h82YeCGwCyGA&#10;tVuijSbeVDB6XbpDW+3ONt0Fqr/eIR7g+N6bvPdNuupdIw7YhdqThslYgUAqvK2p1PC+eRotQYRo&#10;yJrGE2r4wQCr7GqQmsT6I73hYR1LwSUUEqOhirFNpAxFhc6EsW+RONv5zpnIsiul7cyRy10jp0rN&#10;pTM18UJlWswrLL7Xe6dh93L78fA5zF8fN+55kU/KrzDsf7W+ue7v70BE7OP5GE74jA4ZM239nmwQ&#10;jQZ+JGqYzaYgTqlSS3a2/47MUnnJn/0BAAD//wMAUEsBAi0AFAAGAAgAAAAhALaDOJL+AAAA4QEA&#10;ABMAAAAAAAAAAAAAAAAAAAAAAFtDb250ZW50X1R5cGVzXS54bWxQSwECLQAUAAYACAAAACEAOP0h&#10;/9YAAACUAQAACwAAAAAAAAAAAAAAAAAvAQAAX3JlbHMvLnJlbHNQSwECLQAUAAYACAAAACEABysA&#10;h9kBAAANBAAADgAAAAAAAAAAAAAAAAAuAgAAZHJzL2Uyb0RvYy54bWxQSwECLQAUAAYACAAAACEA&#10;B4usEd0AAAAHAQAADwAAAAAAAAAAAAAAAAAzBAAAZHJzL2Rvd25yZXYueG1sUEsFBgAAAAAEAAQA&#10;8wAAAD0FAAAAAA==&#10;" strokecolor="black [3213]" strokeweight="1.5pt">
                <v:stroke joinstyle="miter"/>
                <w10:wrap anchorx="margin"/>
              </v:line>
            </w:pict>
          </mc:Fallback>
        </mc:AlternateContent>
      </w:r>
    </w:p>
    <w:p w:rsidR="00BF78D0" w:rsidRPr="005027F4" w:rsidRDefault="00A75885" w:rsidP="006416AF">
      <w:pPr>
        <w:pStyle w:val="Heading1"/>
        <w:numPr>
          <w:ilvl w:val="0"/>
          <w:numId w:val="12"/>
        </w:numPr>
        <w:tabs>
          <w:tab w:val="left" w:pos="426"/>
        </w:tabs>
        <w:spacing w:before="360"/>
        <w:ind w:left="426" w:hanging="426"/>
        <w:rPr>
          <w:rFonts w:ascii="Arial" w:hAnsi="Arial" w:cs="Arial"/>
          <w:b/>
          <w:color w:val="auto"/>
        </w:rPr>
      </w:pPr>
      <w:bookmarkStart w:id="1" w:name="_Toc96070177"/>
      <w:r>
        <w:rPr>
          <w:rFonts w:ascii="Arial" w:hAnsi="Arial" w:cs="Arial"/>
          <w:b/>
          <w:color w:val="auto"/>
        </w:rPr>
        <w:t xml:space="preserve">Response to issues raised by </w:t>
      </w:r>
      <w:bookmarkEnd w:id="1"/>
      <w:r w:rsidR="00A22683">
        <w:rPr>
          <w:rFonts w:ascii="Arial" w:hAnsi="Arial" w:cs="Arial"/>
          <w:b/>
          <w:color w:val="auto"/>
        </w:rPr>
        <w:t>the Panel</w:t>
      </w:r>
    </w:p>
    <w:p w:rsidR="00785C2B" w:rsidRPr="00494AC2" w:rsidRDefault="00785C2B" w:rsidP="00494AC2">
      <w:pPr>
        <w:spacing w:after="0" w:line="360" w:lineRule="auto"/>
        <w:ind w:right="140"/>
        <w:jc w:val="both"/>
        <w:rPr>
          <w:rFonts w:cs="Calibri"/>
          <w:sz w:val="14"/>
          <w:szCs w:val="14"/>
          <w:shd w:val="clear" w:color="auto" w:fill="FFFFFF"/>
        </w:rPr>
      </w:pPr>
    </w:p>
    <w:p w:rsidR="009108AE" w:rsidRPr="00600E05" w:rsidRDefault="00AC3441" w:rsidP="009108AE">
      <w:pPr>
        <w:pStyle w:val="Maintext"/>
        <w:ind w:left="0" w:firstLine="0"/>
        <w:rPr>
          <w:b/>
        </w:rPr>
      </w:pPr>
      <w:r>
        <w:rPr>
          <w:b/>
        </w:rPr>
        <w:t xml:space="preserve">Local </w:t>
      </w:r>
      <w:r w:rsidR="009108AE">
        <w:rPr>
          <w:b/>
        </w:rPr>
        <w:t>Heritage Study alignment</w:t>
      </w:r>
      <w:r w:rsidR="009108AE" w:rsidRPr="00600E05">
        <w:rPr>
          <w:b/>
        </w:rPr>
        <w:t xml:space="preserve"> with Practice Note</w:t>
      </w:r>
    </w:p>
    <w:p w:rsidR="009108AE" w:rsidRPr="00600E05" w:rsidRDefault="009108AE" w:rsidP="009108AE">
      <w:pPr>
        <w:pStyle w:val="ListParagraph"/>
        <w:numPr>
          <w:ilvl w:val="0"/>
          <w:numId w:val="1"/>
        </w:numPr>
        <w:spacing w:after="120" w:line="360" w:lineRule="auto"/>
        <w:ind w:left="567" w:hanging="567"/>
        <w:contextualSpacing w:val="0"/>
        <w:rPr>
          <w:rFonts w:cs="Arial"/>
          <w:color w:val="000000"/>
          <w:sz w:val="21"/>
          <w:szCs w:val="21"/>
          <w:lang w:eastAsia="en-AU"/>
        </w:rPr>
      </w:pPr>
      <w:r w:rsidRPr="00600E05">
        <w:rPr>
          <w:rFonts w:cs="Arial"/>
          <w:color w:val="000000"/>
          <w:sz w:val="21"/>
          <w:szCs w:val="21"/>
          <w:lang w:eastAsia="en-AU"/>
        </w:rPr>
        <w:t>Planning Practice Note 1 sets out the requirements for</w:t>
      </w:r>
      <w:r>
        <w:rPr>
          <w:rFonts w:cs="Arial"/>
          <w:color w:val="000000"/>
          <w:sz w:val="21"/>
          <w:szCs w:val="21"/>
          <w:lang w:eastAsia="en-AU"/>
        </w:rPr>
        <w:t xml:space="preserve"> the application of a heritage overlay</w:t>
      </w:r>
      <w:r w:rsidRPr="00600E05">
        <w:rPr>
          <w:rFonts w:cs="Arial"/>
          <w:color w:val="000000"/>
          <w:sz w:val="21"/>
          <w:szCs w:val="21"/>
          <w:lang w:eastAsia="en-AU"/>
        </w:rPr>
        <w:t xml:space="preserve">.  Of relevance is point four which states that: </w:t>
      </w:r>
    </w:p>
    <w:p w:rsidR="009108AE" w:rsidRPr="009108AE" w:rsidRDefault="009108AE" w:rsidP="009108AE">
      <w:pPr>
        <w:pStyle w:val="Quote"/>
        <w:rPr>
          <w:sz w:val="21"/>
          <w:szCs w:val="21"/>
          <w:lang w:eastAsia="en-AU"/>
        </w:rPr>
      </w:pPr>
      <w:r w:rsidRPr="009108AE">
        <w:rPr>
          <w:sz w:val="21"/>
          <w:szCs w:val="21"/>
          <w:lang w:eastAsia="en-AU"/>
        </w:rPr>
        <w:t>Places identified in a local heritage study, provided the significance of the place can be shown to justify the application of the overlay.</w:t>
      </w:r>
    </w:p>
    <w:p w:rsidR="009108AE" w:rsidRPr="00600E05" w:rsidRDefault="00AC3441" w:rsidP="009108AE">
      <w:pPr>
        <w:pStyle w:val="ListParagraph"/>
        <w:numPr>
          <w:ilvl w:val="0"/>
          <w:numId w:val="1"/>
        </w:numPr>
        <w:spacing w:after="120" w:line="360" w:lineRule="auto"/>
        <w:ind w:left="567" w:hanging="567"/>
        <w:contextualSpacing w:val="0"/>
        <w:rPr>
          <w:rFonts w:cs="Arial"/>
          <w:color w:val="000000"/>
          <w:sz w:val="21"/>
          <w:szCs w:val="21"/>
          <w:lang w:eastAsia="en-AU"/>
        </w:rPr>
      </w:pPr>
      <w:r>
        <w:rPr>
          <w:rFonts w:cs="Arial"/>
          <w:color w:val="000000"/>
          <w:sz w:val="21"/>
          <w:szCs w:val="21"/>
          <w:lang w:eastAsia="en-AU"/>
        </w:rPr>
        <w:t>The Practice N</w:t>
      </w:r>
      <w:r w:rsidR="009108AE" w:rsidRPr="00600E05">
        <w:rPr>
          <w:rFonts w:cs="Arial"/>
          <w:color w:val="000000"/>
          <w:sz w:val="21"/>
          <w:szCs w:val="21"/>
          <w:lang w:eastAsia="en-AU"/>
        </w:rPr>
        <w:t>ote further states that:</w:t>
      </w:r>
    </w:p>
    <w:p w:rsidR="009108AE" w:rsidRPr="00600E05" w:rsidRDefault="009108AE" w:rsidP="009108AE">
      <w:pPr>
        <w:pStyle w:val="ListParagraph"/>
        <w:spacing w:after="120" w:line="360" w:lineRule="auto"/>
        <w:ind w:left="1134"/>
        <w:contextualSpacing w:val="0"/>
        <w:rPr>
          <w:rFonts w:cs="Arial"/>
          <w:i/>
          <w:iCs/>
          <w:color w:val="000000"/>
          <w:sz w:val="21"/>
          <w:szCs w:val="21"/>
          <w:lang w:eastAsia="en-AU"/>
        </w:rPr>
      </w:pPr>
      <w:r w:rsidRPr="00600E05">
        <w:rPr>
          <w:rFonts w:cs="Arial"/>
          <w:i/>
          <w:iCs/>
          <w:color w:val="000000"/>
          <w:sz w:val="21"/>
          <w:szCs w:val="21"/>
          <w:lang w:eastAsia="en-AU"/>
        </w:rPr>
        <w:t xml:space="preserve">The heritage process leading to the identification of the place needs to clearly justify the significance of the place as a basis for its inclusion in the Heritage Overlay. The documentation for each place shall include a statement of significance that clearly establishes the importance of the place and addresses the heritage criteria.  </w:t>
      </w:r>
    </w:p>
    <w:p w:rsidR="009108AE" w:rsidRDefault="00AC3441" w:rsidP="009108AE">
      <w:pPr>
        <w:pStyle w:val="ListParagraph"/>
        <w:numPr>
          <w:ilvl w:val="0"/>
          <w:numId w:val="1"/>
        </w:numPr>
        <w:spacing w:after="120" w:line="360" w:lineRule="auto"/>
        <w:ind w:left="567" w:hanging="567"/>
        <w:contextualSpacing w:val="0"/>
        <w:rPr>
          <w:rFonts w:cs="Arial"/>
          <w:color w:val="000000"/>
          <w:sz w:val="21"/>
          <w:szCs w:val="21"/>
          <w:lang w:eastAsia="en-AU"/>
        </w:rPr>
      </w:pPr>
      <w:r>
        <w:rPr>
          <w:rFonts w:cs="Arial"/>
          <w:color w:val="000000"/>
          <w:sz w:val="21"/>
          <w:szCs w:val="21"/>
          <w:lang w:eastAsia="en-AU"/>
        </w:rPr>
        <w:t>The Practice N</w:t>
      </w:r>
      <w:r w:rsidR="009108AE" w:rsidRPr="00600E05">
        <w:rPr>
          <w:rFonts w:cs="Arial"/>
          <w:color w:val="000000"/>
          <w:sz w:val="21"/>
          <w:szCs w:val="21"/>
          <w:lang w:eastAsia="en-AU"/>
        </w:rPr>
        <w:t xml:space="preserve">ote also recognises heritage criteria </w:t>
      </w:r>
      <w:r w:rsidR="009108AE">
        <w:rPr>
          <w:rFonts w:cs="Arial"/>
          <w:color w:val="000000"/>
          <w:sz w:val="21"/>
          <w:szCs w:val="21"/>
          <w:lang w:eastAsia="en-AU"/>
        </w:rPr>
        <w:t>(</w:t>
      </w:r>
      <w:r w:rsidR="009108AE" w:rsidRPr="00600E05">
        <w:rPr>
          <w:rFonts w:cs="Arial"/>
          <w:color w:val="000000"/>
          <w:sz w:val="21"/>
          <w:szCs w:val="21"/>
          <w:lang w:eastAsia="en-AU"/>
        </w:rPr>
        <w:t>HERCON</w:t>
      </w:r>
      <w:r w:rsidR="009108AE">
        <w:rPr>
          <w:rFonts w:cs="Arial"/>
          <w:color w:val="000000"/>
          <w:sz w:val="21"/>
          <w:szCs w:val="21"/>
          <w:lang w:eastAsia="en-AU"/>
        </w:rPr>
        <w:t>)</w:t>
      </w:r>
      <w:r w:rsidR="009108AE" w:rsidRPr="00600E05">
        <w:rPr>
          <w:rFonts w:cs="Arial"/>
          <w:color w:val="000000"/>
          <w:sz w:val="21"/>
          <w:szCs w:val="21"/>
          <w:lang w:eastAsia="en-AU"/>
        </w:rPr>
        <w:t xml:space="preserve"> shall be used for the</w:t>
      </w:r>
      <w:r w:rsidR="009108AE">
        <w:rPr>
          <w:rFonts w:cs="Arial"/>
          <w:color w:val="000000"/>
          <w:sz w:val="21"/>
          <w:szCs w:val="21"/>
          <w:lang w:eastAsia="en-AU"/>
        </w:rPr>
        <w:t xml:space="preserve"> </w:t>
      </w:r>
      <w:r w:rsidR="009108AE" w:rsidRPr="00600E05">
        <w:rPr>
          <w:rFonts w:cs="Arial"/>
          <w:color w:val="000000"/>
          <w:sz w:val="21"/>
          <w:szCs w:val="21"/>
          <w:lang w:eastAsia="en-AU"/>
        </w:rPr>
        <w:t>assessment of the heritage value of the heritage place and that a comparative analysis</w:t>
      </w:r>
      <w:r w:rsidR="009108AE">
        <w:rPr>
          <w:rFonts w:cs="Arial"/>
          <w:color w:val="000000"/>
          <w:sz w:val="21"/>
          <w:szCs w:val="21"/>
          <w:lang w:eastAsia="en-AU"/>
        </w:rPr>
        <w:t xml:space="preserve"> methodology is used to apply a threshold and substantiate the significance of each place</w:t>
      </w:r>
      <w:r w:rsidR="009108AE" w:rsidRPr="00600E05">
        <w:rPr>
          <w:rFonts w:cs="Arial"/>
          <w:color w:val="000000"/>
          <w:sz w:val="21"/>
          <w:szCs w:val="21"/>
          <w:lang w:eastAsia="en-AU"/>
        </w:rPr>
        <w:t>.</w:t>
      </w:r>
    </w:p>
    <w:p w:rsidR="00AC3441" w:rsidRPr="00600E05" w:rsidRDefault="00AC3441" w:rsidP="00AC3441">
      <w:pPr>
        <w:pStyle w:val="ListParagraph"/>
        <w:numPr>
          <w:ilvl w:val="0"/>
          <w:numId w:val="1"/>
        </w:numPr>
        <w:spacing w:after="120" w:line="360" w:lineRule="auto"/>
        <w:ind w:left="567" w:hanging="567"/>
        <w:contextualSpacing w:val="0"/>
        <w:rPr>
          <w:rFonts w:cs="Arial"/>
          <w:color w:val="000000"/>
          <w:sz w:val="21"/>
          <w:szCs w:val="21"/>
          <w:lang w:eastAsia="en-AU"/>
        </w:rPr>
      </w:pPr>
      <w:r w:rsidRPr="00600E05">
        <w:rPr>
          <w:rFonts w:cs="Arial"/>
          <w:color w:val="000000"/>
          <w:sz w:val="21"/>
          <w:szCs w:val="21"/>
          <w:lang w:eastAsia="en-AU"/>
        </w:rPr>
        <w:t xml:space="preserve">It is important to note that the level of expertise, length of experience of consultants engaged to prepare local heritage studies are not explicitly set out in the </w:t>
      </w:r>
      <w:r>
        <w:rPr>
          <w:rFonts w:cs="Arial"/>
          <w:color w:val="000000"/>
          <w:sz w:val="21"/>
          <w:szCs w:val="21"/>
          <w:lang w:eastAsia="en-AU"/>
        </w:rPr>
        <w:t>P</w:t>
      </w:r>
      <w:r w:rsidRPr="00600E05">
        <w:rPr>
          <w:rFonts w:cs="Arial"/>
          <w:color w:val="000000"/>
          <w:sz w:val="21"/>
          <w:szCs w:val="21"/>
          <w:lang w:eastAsia="en-AU"/>
        </w:rPr>
        <w:t xml:space="preserve">ractice </w:t>
      </w:r>
      <w:r>
        <w:rPr>
          <w:rFonts w:cs="Arial"/>
          <w:color w:val="000000"/>
          <w:sz w:val="21"/>
          <w:szCs w:val="21"/>
          <w:lang w:eastAsia="en-AU"/>
        </w:rPr>
        <w:t>N</w:t>
      </w:r>
      <w:r w:rsidRPr="00600E05">
        <w:rPr>
          <w:rFonts w:cs="Arial"/>
          <w:color w:val="000000"/>
          <w:sz w:val="21"/>
          <w:szCs w:val="21"/>
          <w:lang w:eastAsia="en-AU"/>
        </w:rPr>
        <w:t xml:space="preserve">ote nor the </w:t>
      </w:r>
      <w:r w:rsidRPr="00AC3441">
        <w:rPr>
          <w:rFonts w:cs="Arial"/>
          <w:i/>
          <w:color w:val="000000"/>
          <w:sz w:val="21"/>
          <w:szCs w:val="21"/>
          <w:lang w:eastAsia="en-AU"/>
        </w:rPr>
        <w:t xml:space="preserve">Planning </w:t>
      </w:r>
      <w:r>
        <w:rPr>
          <w:rFonts w:cs="Arial"/>
          <w:i/>
          <w:color w:val="000000"/>
          <w:sz w:val="21"/>
          <w:szCs w:val="21"/>
          <w:lang w:eastAsia="en-AU"/>
        </w:rPr>
        <w:t>P</w:t>
      </w:r>
      <w:r w:rsidRPr="00AC3441">
        <w:rPr>
          <w:rFonts w:cs="Arial"/>
          <w:i/>
          <w:color w:val="000000"/>
          <w:sz w:val="21"/>
          <w:szCs w:val="21"/>
          <w:lang w:eastAsia="en-AU"/>
        </w:rPr>
        <w:t xml:space="preserve">anels </w:t>
      </w:r>
      <w:r>
        <w:rPr>
          <w:rFonts w:cs="Arial"/>
          <w:i/>
          <w:color w:val="000000"/>
          <w:sz w:val="21"/>
          <w:szCs w:val="21"/>
          <w:lang w:eastAsia="en-AU"/>
        </w:rPr>
        <w:t>G</w:t>
      </w:r>
      <w:r w:rsidRPr="00AC3441">
        <w:rPr>
          <w:rFonts w:cs="Arial"/>
          <w:i/>
          <w:color w:val="000000"/>
          <w:sz w:val="21"/>
          <w:szCs w:val="21"/>
          <w:lang w:eastAsia="en-AU"/>
        </w:rPr>
        <w:t xml:space="preserve">uide to </w:t>
      </w:r>
      <w:r>
        <w:rPr>
          <w:rFonts w:cs="Arial"/>
          <w:i/>
          <w:color w:val="000000"/>
          <w:sz w:val="21"/>
          <w:szCs w:val="21"/>
          <w:lang w:eastAsia="en-AU"/>
        </w:rPr>
        <w:t>E</w:t>
      </w:r>
      <w:r w:rsidRPr="00AC3441">
        <w:rPr>
          <w:rFonts w:cs="Arial"/>
          <w:i/>
          <w:color w:val="000000"/>
          <w:sz w:val="21"/>
          <w:szCs w:val="21"/>
          <w:lang w:eastAsia="en-AU"/>
        </w:rPr>
        <w:t xml:space="preserve">xpert </w:t>
      </w:r>
      <w:r>
        <w:rPr>
          <w:rFonts w:cs="Arial"/>
          <w:i/>
          <w:color w:val="000000"/>
          <w:sz w:val="21"/>
          <w:szCs w:val="21"/>
          <w:lang w:eastAsia="en-AU"/>
        </w:rPr>
        <w:t>E</w:t>
      </w:r>
      <w:r w:rsidRPr="00AC3441">
        <w:rPr>
          <w:rFonts w:cs="Arial"/>
          <w:i/>
          <w:color w:val="000000"/>
          <w:sz w:val="21"/>
          <w:szCs w:val="21"/>
          <w:lang w:eastAsia="en-AU"/>
        </w:rPr>
        <w:t>vidence</w:t>
      </w:r>
      <w:r w:rsidRPr="00600E05">
        <w:rPr>
          <w:rFonts w:cs="Arial"/>
          <w:color w:val="000000"/>
          <w:sz w:val="21"/>
          <w:szCs w:val="21"/>
          <w:lang w:eastAsia="en-AU"/>
        </w:rPr>
        <w:t xml:space="preserve">. </w:t>
      </w:r>
    </w:p>
    <w:p w:rsidR="000D5B78" w:rsidRPr="000D5B78" w:rsidRDefault="009108AE" w:rsidP="00816EE4">
      <w:pPr>
        <w:pStyle w:val="ListParagraph"/>
        <w:numPr>
          <w:ilvl w:val="0"/>
          <w:numId w:val="1"/>
        </w:numPr>
        <w:spacing w:after="120" w:line="360" w:lineRule="auto"/>
        <w:ind w:left="567" w:hanging="720"/>
        <w:contextualSpacing w:val="0"/>
        <w:rPr>
          <w:rFonts w:cs="Arial"/>
          <w:color w:val="000000"/>
          <w:sz w:val="21"/>
          <w:szCs w:val="21"/>
          <w:lang w:eastAsia="en-AU"/>
        </w:rPr>
      </w:pPr>
      <w:r w:rsidRPr="000D5B78">
        <w:rPr>
          <w:rFonts w:cs="Arial"/>
          <w:color w:val="000000"/>
          <w:sz w:val="21"/>
          <w:szCs w:val="21"/>
          <w:lang w:eastAsia="en-AU"/>
        </w:rPr>
        <w:lastRenderedPageBreak/>
        <w:t>Council is satisfied that the methodology employed</w:t>
      </w:r>
      <w:r w:rsidR="00AC3441" w:rsidRPr="000D5B78">
        <w:rPr>
          <w:rFonts w:cs="Arial"/>
          <w:color w:val="000000"/>
          <w:sz w:val="21"/>
          <w:szCs w:val="21"/>
          <w:lang w:eastAsia="en-AU"/>
        </w:rPr>
        <w:t xml:space="preserve"> by Extent Heritage</w:t>
      </w:r>
      <w:r w:rsidRPr="000D5B78">
        <w:rPr>
          <w:rFonts w:cs="Arial"/>
          <w:color w:val="000000"/>
          <w:sz w:val="21"/>
          <w:szCs w:val="21"/>
          <w:lang w:eastAsia="en-AU"/>
        </w:rPr>
        <w:t xml:space="preserve"> to recommend application of a Heritage Overlay conforms with</w:t>
      </w:r>
      <w:r w:rsidR="00AC3441" w:rsidRPr="000D5B78">
        <w:rPr>
          <w:rFonts w:cs="Arial"/>
          <w:color w:val="000000"/>
          <w:sz w:val="21"/>
          <w:szCs w:val="21"/>
          <w:lang w:eastAsia="en-AU"/>
        </w:rPr>
        <w:t xml:space="preserve"> the requirements of</w:t>
      </w:r>
      <w:r w:rsidRPr="000D5B78">
        <w:rPr>
          <w:rFonts w:cs="Arial"/>
          <w:color w:val="000000"/>
          <w:sz w:val="21"/>
          <w:szCs w:val="21"/>
          <w:lang w:eastAsia="en-AU"/>
        </w:rPr>
        <w:t xml:space="preserve"> </w:t>
      </w:r>
      <w:r w:rsidR="00AC3441" w:rsidRPr="000D5B78">
        <w:rPr>
          <w:rFonts w:cs="Arial"/>
          <w:color w:val="000000"/>
          <w:sz w:val="21"/>
          <w:szCs w:val="21"/>
          <w:lang w:eastAsia="en-AU"/>
        </w:rPr>
        <w:t xml:space="preserve">Planning </w:t>
      </w:r>
      <w:r w:rsidRPr="000D5B78">
        <w:rPr>
          <w:rFonts w:cs="Arial"/>
          <w:color w:val="000000"/>
          <w:sz w:val="21"/>
          <w:szCs w:val="21"/>
          <w:lang w:eastAsia="en-AU"/>
        </w:rPr>
        <w:t>Practice Note 1</w:t>
      </w:r>
      <w:r w:rsidR="0060720C" w:rsidRPr="000D5B78">
        <w:rPr>
          <w:rFonts w:cs="Arial"/>
          <w:color w:val="000000"/>
          <w:sz w:val="21"/>
          <w:szCs w:val="21"/>
          <w:lang w:eastAsia="en-AU"/>
        </w:rPr>
        <w:t xml:space="preserve"> – Applying the Heritage Overlay</w:t>
      </w:r>
      <w:r w:rsidR="000D5B78" w:rsidRPr="000D5B78">
        <w:rPr>
          <w:rFonts w:cs="Arial"/>
          <w:color w:val="000000"/>
          <w:sz w:val="21"/>
          <w:szCs w:val="21"/>
          <w:lang w:eastAsia="en-AU"/>
        </w:rPr>
        <w:t xml:space="preserve"> and met all the requirements of the project brief to prepare a heritage study for the purpose of local heritage statutory protection.</w:t>
      </w:r>
    </w:p>
    <w:p w:rsidR="00860EE4" w:rsidRPr="00386153" w:rsidRDefault="00386153" w:rsidP="004C2436">
      <w:pPr>
        <w:pStyle w:val="Maintext"/>
        <w:ind w:left="0" w:firstLine="0"/>
        <w:rPr>
          <w:b/>
        </w:rPr>
      </w:pPr>
      <w:r>
        <w:rPr>
          <w:b/>
        </w:rPr>
        <w:t xml:space="preserve">Social Significance </w:t>
      </w:r>
    </w:p>
    <w:p w:rsidR="00342EE4" w:rsidRPr="00342EE4" w:rsidRDefault="00342EE4" w:rsidP="006416AF">
      <w:pPr>
        <w:pStyle w:val="ListParagraph"/>
        <w:numPr>
          <w:ilvl w:val="0"/>
          <w:numId w:val="10"/>
        </w:numPr>
        <w:spacing w:after="120" w:line="360" w:lineRule="auto"/>
        <w:ind w:left="567" w:right="140" w:hanging="567"/>
        <w:contextualSpacing w:val="0"/>
        <w:jc w:val="both"/>
        <w:rPr>
          <w:rFonts w:cs="Arial"/>
        </w:rPr>
      </w:pPr>
      <w:r>
        <w:t xml:space="preserve">The scope of the Moreland Heritage Nomination Study (MHNS) is outlined in the project brief at </w:t>
      </w:r>
      <w:r w:rsidR="004C2436" w:rsidRPr="004C2436">
        <w:rPr>
          <w:b/>
          <w:bCs/>
          <w:u w:val="single"/>
        </w:rPr>
        <w:t>A</w:t>
      </w:r>
      <w:r w:rsidRPr="004C2436">
        <w:rPr>
          <w:b/>
          <w:bCs/>
          <w:u w:val="single"/>
        </w:rPr>
        <w:t xml:space="preserve">ttachment </w:t>
      </w:r>
      <w:r w:rsidR="004C2436" w:rsidRPr="004C2436">
        <w:rPr>
          <w:b/>
          <w:bCs/>
          <w:u w:val="single"/>
        </w:rPr>
        <w:t>1</w:t>
      </w:r>
      <w:r>
        <w:t xml:space="preserve">.  This brief is consistent with the recommended Heritage Victoria guidance for Councils included at </w:t>
      </w:r>
      <w:r w:rsidR="00DA37B3" w:rsidRPr="00DA37B3">
        <w:rPr>
          <w:b/>
          <w:bCs/>
          <w:u w:val="single"/>
        </w:rPr>
        <w:t>Attachment 2</w:t>
      </w:r>
      <w:r>
        <w:t xml:space="preserve">.   </w:t>
      </w:r>
      <w:r w:rsidR="005E5E6A">
        <w:t>This guidance does not specify any particular methodology in relation to criterion G and social significance.</w:t>
      </w:r>
    </w:p>
    <w:p w:rsidR="00386153" w:rsidRPr="00F10CB9" w:rsidRDefault="00342EE4" w:rsidP="006416AF">
      <w:pPr>
        <w:pStyle w:val="ListParagraph"/>
        <w:numPr>
          <w:ilvl w:val="0"/>
          <w:numId w:val="10"/>
        </w:numPr>
        <w:spacing w:after="60" w:line="360" w:lineRule="auto"/>
        <w:ind w:left="567" w:right="140" w:hanging="567"/>
        <w:contextualSpacing w:val="0"/>
        <w:jc w:val="both"/>
        <w:rPr>
          <w:rFonts w:cs="Arial"/>
        </w:rPr>
      </w:pPr>
      <w:r>
        <w:t>The MHNS Stage 2 project brief set</w:t>
      </w:r>
      <w:r w:rsidR="005E5E6A">
        <w:t>s</w:t>
      </w:r>
      <w:r>
        <w:t xml:space="preserve"> out specific tasks for the heritage consultant which included; undertaking historical research and comparative analysis, and a detailed assessment of significance</w:t>
      </w:r>
      <w:r w:rsidR="00F10CB9">
        <w:t xml:space="preserve">.  A full assessment of the heritage </w:t>
      </w:r>
      <w:r w:rsidR="00386153" w:rsidRPr="00F10CB9">
        <w:rPr>
          <w:rFonts w:cs="Arial"/>
        </w:rPr>
        <w:t>significance of all identified places against the HERCON criteria</w:t>
      </w:r>
      <w:r w:rsidR="00F10CB9">
        <w:rPr>
          <w:rFonts w:cs="Arial"/>
        </w:rPr>
        <w:t xml:space="preserve"> was required</w:t>
      </w:r>
      <w:r w:rsidR="00386153" w:rsidRPr="00F10CB9">
        <w:rPr>
          <w:rFonts w:cs="Arial"/>
        </w:rPr>
        <w:t xml:space="preserve"> to establish their significance including the preparation of a citation for each precinct/place. Th</w:t>
      </w:r>
      <w:r w:rsidR="00F10CB9">
        <w:rPr>
          <w:rFonts w:cs="Arial"/>
        </w:rPr>
        <w:t xml:space="preserve">e brief required that assessment to include the following </w:t>
      </w:r>
      <w:r w:rsidR="00386153" w:rsidRPr="00F10CB9">
        <w:rPr>
          <w:rFonts w:cs="Arial"/>
        </w:rPr>
        <w:t>tasks:</w:t>
      </w:r>
    </w:p>
    <w:p w:rsidR="00386153" w:rsidRPr="00B35C2F" w:rsidRDefault="00386153" w:rsidP="00F10CB9">
      <w:pPr>
        <w:pStyle w:val="Quote"/>
        <w:rPr>
          <w:sz w:val="21"/>
          <w:szCs w:val="21"/>
        </w:rPr>
      </w:pPr>
      <w:r w:rsidRPr="00B35C2F">
        <w:rPr>
          <w:sz w:val="21"/>
          <w:szCs w:val="21"/>
        </w:rPr>
        <w:t>Assessment Criteria</w:t>
      </w:r>
    </w:p>
    <w:p w:rsidR="00386153" w:rsidRPr="00B35C2F" w:rsidRDefault="00386153" w:rsidP="00F10CB9">
      <w:pPr>
        <w:pStyle w:val="Quote"/>
        <w:rPr>
          <w:sz w:val="21"/>
          <w:szCs w:val="21"/>
        </w:rPr>
      </w:pPr>
      <w:r w:rsidRPr="00B35C2F">
        <w:rPr>
          <w:sz w:val="21"/>
          <w:szCs w:val="21"/>
        </w:rPr>
        <w:t xml:space="preserve">Assess the places against the HERCON model Criteria to establish, affirm or dismiss their cultural significance. The thresholds to be applied in the assessment shall be ‘State Significance’ and ‘Local Significance’. Places of </w:t>
      </w:r>
      <w:r w:rsidRPr="00B35C2F">
        <w:rPr>
          <w:bCs/>
          <w:sz w:val="21"/>
          <w:szCs w:val="21"/>
        </w:rPr>
        <w:t>Local Significance’ includes those places that are important to a particular community or locality.  Letter or number grading (eg. “A”, “B”, “1”, “2” etc.) is not to be used.  The significant components of each place should be identified.  This will usually occur as a brief mention in the Statement of Significance.</w:t>
      </w:r>
    </w:p>
    <w:p w:rsidR="00386153" w:rsidRPr="00B35C2F" w:rsidRDefault="00386153" w:rsidP="00F10CB9">
      <w:pPr>
        <w:pStyle w:val="Quote"/>
        <w:rPr>
          <w:sz w:val="21"/>
          <w:szCs w:val="21"/>
        </w:rPr>
      </w:pPr>
      <w:r w:rsidRPr="00B35C2F">
        <w:rPr>
          <w:sz w:val="21"/>
          <w:szCs w:val="21"/>
        </w:rPr>
        <w:t>Each heritage place linked to a theme and sub-theme as identified in the City of Moreland Thematic History. Any gaps identified in the thematical history through this process should be documented.</w:t>
      </w:r>
    </w:p>
    <w:p w:rsidR="00386153" w:rsidRPr="00B35C2F" w:rsidRDefault="00386153" w:rsidP="00F10CB9">
      <w:pPr>
        <w:pStyle w:val="Quote"/>
        <w:rPr>
          <w:sz w:val="21"/>
          <w:szCs w:val="21"/>
        </w:rPr>
      </w:pPr>
      <w:r w:rsidRPr="00B35C2F">
        <w:rPr>
          <w:sz w:val="21"/>
          <w:szCs w:val="21"/>
        </w:rPr>
        <w:t>Architectural analysis of each place, including visual inspection from the street of all properties documented with photographs to clearly depict each place, evaluate the level of integrity and identify contributory and non-contributory elements.</w:t>
      </w:r>
    </w:p>
    <w:p w:rsidR="00386153" w:rsidRPr="00B35C2F" w:rsidRDefault="00386153" w:rsidP="00F10CB9">
      <w:pPr>
        <w:pStyle w:val="Quote"/>
        <w:rPr>
          <w:rFonts w:eastAsia="Calibri"/>
          <w:bCs/>
          <w:sz w:val="21"/>
          <w:szCs w:val="21"/>
        </w:rPr>
      </w:pPr>
      <w:r w:rsidRPr="00B35C2F">
        <w:rPr>
          <w:rFonts w:eastAsia="Calibri"/>
          <w:bCs/>
          <w:sz w:val="21"/>
          <w:szCs w:val="21"/>
        </w:rPr>
        <w:t>In the assessment of heritage areas (precincts) the following must be identified:</w:t>
      </w:r>
    </w:p>
    <w:p w:rsidR="00386153" w:rsidRPr="00B35C2F" w:rsidRDefault="00386153" w:rsidP="006416AF">
      <w:pPr>
        <w:pStyle w:val="Quote"/>
        <w:numPr>
          <w:ilvl w:val="0"/>
          <w:numId w:val="14"/>
        </w:numPr>
        <w:rPr>
          <w:rFonts w:eastAsia="Calibri"/>
          <w:bCs/>
          <w:sz w:val="21"/>
          <w:szCs w:val="21"/>
        </w:rPr>
      </w:pPr>
      <w:r w:rsidRPr="00B35C2F">
        <w:rPr>
          <w:rFonts w:eastAsia="Calibri"/>
          <w:bCs/>
          <w:sz w:val="21"/>
          <w:szCs w:val="21"/>
        </w:rPr>
        <w:t>Individually significant buildings/places with a recommendation on whether the building should be included in an individual Heritage Overlay in addition to a precinct wide Heritage Overlay</w:t>
      </w:r>
    </w:p>
    <w:p w:rsidR="00386153" w:rsidRPr="00B35C2F" w:rsidRDefault="00386153" w:rsidP="006416AF">
      <w:pPr>
        <w:pStyle w:val="Quote"/>
        <w:numPr>
          <w:ilvl w:val="0"/>
          <w:numId w:val="14"/>
        </w:numPr>
        <w:rPr>
          <w:bCs/>
          <w:sz w:val="21"/>
          <w:szCs w:val="21"/>
        </w:rPr>
      </w:pPr>
      <w:r w:rsidRPr="00B35C2F">
        <w:rPr>
          <w:bCs/>
          <w:sz w:val="21"/>
          <w:szCs w:val="21"/>
        </w:rPr>
        <w:t>Contributory buildings/places.</w:t>
      </w:r>
    </w:p>
    <w:p w:rsidR="00386153" w:rsidRPr="00B35C2F" w:rsidRDefault="00386153" w:rsidP="006416AF">
      <w:pPr>
        <w:pStyle w:val="Quote"/>
        <w:numPr>
          <w:ilvl w:val="0"/>
          <w:numId w:val="14"/>
        </w:numPr>
        <w:rPr>
          <w:bCs/>
          <w:sz w:val="21"/>
          <w:szCs w:val="21"/>
        </w:rPr>
      </w:pPr>
      <w:r w:rsidRPr="00B35C2F">
        <w:rPr>
          <w:bCs/>
          <w:sz w:val="21"/>
          <w:szCs w:val="21"/>
        </w:rPr>
        <w:t>Non-contributory buildings/places.</w:t>
      </w:r>
    </w:p>
    <w:p w:rsidR="00386153" w:rsidRPr="00B35C2F" w:rsidRDefault="00386153" w:rsidP="006416AF">
      <w:pPr>
        <w:pStyle w:val="Quote"/>
        <w:numPr>
          <w:ilvl w:val="0"/>
          <w:numId w:val="14"/>
        </w:numPr>
        <w:rPr>
          <w:bCs/>
          <w:sz w:val="21"/>
          <w:szCs w:val="21"/>
        </w:rPr>
      </w:pPr>
      <w:r w:rsidRPr="00B35C2F">
        <w:rPr>
          <w:bCs/>
          <w:sz w:val="21"/>
          <w:szCs w:val="21"/>
        </w:rPr>
        <w:t>Other contributory elements within the precinct (eg. buildings/structures/trees /components such as bluestone that contribute to the heritage area).  These other contributory elements should have a basic HERMES entry but do not need to be researched and documented.  However, the Statement of Significance for the heritage area will need to acknowledge the contributory elements.</w:t>
      </w:r>
    </w:p>
    <w:p w:rsidR="00386153" w:rsidRDefault="00386153" w:rsidP="00386153">
      <w:pPr>
        <w:pStyle w:val="ListParagraph"/>
        <w:ind w:left="0"/>
        <w:rPr>
          <w:rFonts w:eastAsia="Calibri" w:cs="Arial"/>
          <w:bCs/>
          <w:szCs w:val="20"/>
        </w:rPr>
      </w:pPr>
    </w:p>
    <w:p w:rsidR="00386153" w:rsidRDefault="00B35C2F" w:rsidP="006416AF">
      <w:pPr>
        <w:pStyle w:val="ListParagraph"/>
        <w:numPr>
          <w:ilvl w:val="0"/>
          <w:numId w:val="10"/>
        </w:numPr>
        <w:spacing w:after="60" w:line="360" w:lineRule="auto"/>
        <w:ind w:left="567" w:right="140" w:hanging="567"/>
        <w:contextualSpacing w:val="0"/>
        <w:jc w:val="both"/>
      </w:pPr>
      <w:r>
        <w:t xml:space="preserve">The </w:t>
      </w:r>
      <w:r w:rsidR="0002510B">
        <w:t>assessment of a place against the HERCON model Criteria to establish, affirm or dismiss their cultural significance would have included an assessment of social significance if it was found to meet criterion G.</w:t>
      </w:r>
    </w:p>
    <w:p w:rsidR="0002510B" w:rsidRPr="00A22683" w:rsidRDefault="0002510B" w:rsidP="006416AF">
      <w:pPr>
        <w:pStyle w:val="ListParagraph"/>
        <w:numPr>
          <w:ilvl w:val="0"/>
          <w:numId w:val="10"/>
        </w:numPr>
        <w:spacing w:after="60" w:line="360" w:lineRule="auto"/>
        <w:ind w:left="567" w:right="140" w:hanging="567"/>
        <w:contextualSpacing w:val="0"/>
        <w:jc w:val="both"/>
      </w:pPr>
      <w:r w:rsidRPr="008533C6">
        <w:rPr>
          <w:rFonts w:cs="Arial"/>
          <w:bCs/>
        </w:rPr>
        <w:t xml:space="preserve">The key objective of the </w:t>
      </w:r>
      <w:r>
        <w:rPr>
          <w:rFonts w:cs="Arial"/>
          <w:bCs/>
        </w:rPr>
        <w:t xml:space="preserve">Stage 2 Study was </w:t>
      </w:r>
      <w:r w:rsidRPr="008533C6">
        <w:rPr>
          <w:rFonts w:cs="Arial"/>
          <w:shd w:val="clear" w:color="auto" w:fill="FFFFFF"/>
          <w:lang w:val="en-GB"/>
        </w:rPr>
        <w:t xml:space="preserve">to undertake a detailed </w:t>
      </w:r>
      <w:r>
        <w:rPr>
          <w:rFonts w:cs="Arial"/>
          <w:shd w:val="clear" w:color="auto" w:fill="FFFFFF"/>
          <w:lang w:val="en-GB"/>
        </w:rPr>
        <w:t xml:space="preserve">heritage </w:t>
      </w:r>
      <w:r w:rsidRPr="008533C6">
        <w:rPr>
          <w:rFonts w:cs="Arial"/>
          <w:shd w:val="clear" w:color="auto" w:fill="FFFFFF"/>
          <w:lang w:val="en-GB"/>
        </w:rPr>
        <w:t xml:space="preserve">assessment </w:t>
      </w:r>
      <w:r>
        <w:rPr>
          <w:rFonts w:cs="Arial"/>
          <w:shd w:val="clear" w:color="auto" w:fill="FFFFFF"/>
          <w:lang w:val="en-GB"/>
        </w:rPr>
        <w:t>of</w:t>
      </w:r>
      <w:r w:rsidRPr="008533C6">
        <w:rPr>
          <w:rFonts w:cs="Arial"/>
          <w:shd w:val="clear" w:color="auto" w:fill="FFFFFF"/>
          <w:lang w:val="en-GB"/>
        </w:rPr>
        <w:t xml:space="preserve"> places identified </w:t>
      </w:r>
      <w:r>
        <w:rPr>
          <w:rFonts w:cs="Arial"/>
          <w:shd w:val="clear" w:color="auto" w:fill="FFFFFF"/>
          <w:lang w:val="en-GB"/>
        </w:rPr>
        <w:t>in the Stage 1 Heritage Assessment of the</w:t>
      </w:r>
      <w:r w:rsidRPr="008533C6">
        <w:rPr>
          <w:rFonts w:cs="Arial"/>
          <w:shd w:val="clear" w:color="auto" w:fill="FFFFFF"/>
          <w:lang w:val="en-GB"/>
        </w:rPr>
        <w:t xml:space="preserve"> </w:t>
      </w:r>
      <w:r>
        <w:rPr>
          <w:rFonts w:cs="Arial"/>
          <w:shd w:val="clear" w:color="auto" w:fill="FFFFFF"/>
          <w:lang w:val="en-GB"/>
        </w:rPr>
        <w:t xml:space="preserve">2016 </w:t>
      </w:r>
      <w:r w:rsidRPr="008533C6">
        <w:rPr>
          <w:rFonts w:cs="Arial"/>
          <w:shd w:val="clear" w:color="auto" w:fill="FFFFFF"/>
          <w:lang w:val="en-GB"/>
        </w:rPr>
        <w:t>public nominat</w:t>
      </w:r>
      <w:r>
        <w:rPr>
          <w:rFonts w:cs="Arial"/>
          <w:shd w:val="clear" w:color="auto" w:fill="FFFFFF"/>
          <w:lang w:val="en-GB"/>
        </w:rPr>
        <w:t>ed</w:t>
      </w:r>
      <w:r w:rsidRPr="008533C6">
        <w:rPr>
          <w:rFonts w:cs="Arial"/>
          <w:shd w:val="clear" w:color="auto" w:fill="FFFFFF"/>
          <w:lang w:val="en-GB"/>
        </w:rPr>
        <w:t xml:space="preserve"> </w:t>
      </w:r>
      <w:r>
        <w:rPr>
          <w:rFonts w:cs="Arial"/>
          <w:shd w:val="clear" w:color="auto" w:fill="FFFFFF"/>
          <w:lang w:val="en-GB"/>
        </w:rPr>
        <w:t xml:space="preserve">places.  Further work that was recommended by the study </w:t>
      </w:r>
      <w:r w:rsidR="00F84F3F">
        <w:rPr>
          <w:rFonts w:cs="Arial"/>
          <w:shd w:val="clear" w:color="auto" w:fill="FFFFFF"/>
          <w:lang w:val="en-GB"/>
        </w:rPr>
        <w:t xml:space="preserve">was beyond the scope of the project and required </w:t>
      </w:r>
      <w:r w:rsidR="00942623">
        <w:rPr>
          <w:rFonts w:cs="Arial"/>
          <w:shd w:val="clear" w:color="auto" w:fill="FFFFFF"/>
          <w:lang w:val="en-GB"/>
        </w:rPr>
        <w:t xml:space="preserve">separate </w:t>
      </w:r>
      <w:r w:rsidR="00F84F3F">
        <w:rPr>
          <w:rFonts w:cs="Arial"/>
          <w:shd w:val="clear" w:color="auto" w:fill="FFFFFF"/>
          <w:lang w:val="en-GB"/>
        </w:rPr>
        <w:t>Council approval and the allocation of further funds</w:t>
      </w:r>
      <w:r w:rsidRPr="008533C6">
        <w:rPr>
          <w:rFonts w:cs="Arial"/>
          <w:lang w:val="en-GB"/>
        </w:rPr>
        <w:t>.</w:t>
      </w:r>
    </w:p>
    <w:p w:rsidR="00A22683" w:rsidRPr="004C2436" w:rsidRDefault="00A22683" w:rsidP="004C2436">
      <w:pPr>
        <w:spacing w:after="120" w:line="360" w:lineRule="auto"/>
        <w:ind w:right="140"/>
        <w:jc w:val="both"/>
        <w:rPr>
          <w:b/>
          <w:sz w:val="21"/>
          <w:szCs w:val="21"/>
        </w:rPr>
      </w:pPr>
      <w:r w:rsidRPr="004C2436">
        <w:rPr>
          <w:b/>
        </w:rPr>
        <w:lastRenderedPageBreak/>
        <w:t>Internal Controls</w:t>
      </w:r>
    </w:p>
    <w:p w:rsidR="00A22683" w:rsidRPr="00A22683" w:rsidRDefault="00B95D5E" w:rsidP="004C2436">
      <w:pPr>
        <w:pStyle w:val="ListParagraph"/>
        <w:numPr>
          <w:ilvl w:val="0"/>
          <w:numId w:val="10"/>
        </w:numPr>
        <w:spacing w:after="120" w:line="360" w:lineRule="auto"/>
        <w:ind w:right="140" w:hanging="502"/>
        <w:contextualSpacing w:val="0"/>
        <w:jc w:val="both"/>
        <w:rPr>
          <w:rFonts w:cs="Arial"/>
          <w:bCs/>
        </w:rPr>
      </w:pPr>
      <w:r>
        <w:t>T</w:t>
      </w:r>
      <w:r w:rsidR="00A42EED">
        <w:t>he application</w:t>
      </w:r>
      <w:r>
        <w:t xml:space="preserve"> of internal controls</w:t>
      </w:r>
      <w:r w:rsidR="00A42EED">
        <w:t xml:space="preserve"> was guided by Planning Practice Note 1 – Applying the Heritage Overlay.  T</w:t>
      </w:r>
      <w:r w:rsidR="00A22683">
        <w:t xml:space="preserve">he project brief required that: </w:t>
      </w:r>
    </w:p>
    <w:p w:rsidR="00A22683" w:rsidRPr="00A22683" w:rsidRDefault="00A22683" w:rsidP="00A22683">
      <w:pPr>
        <w:pStyle w:val="Quote"/>
      </w:pPr>
      <w:r w:rsidRPr="00A22683">
        <w:t xml:space="preserve">For those places recommended for a Heritage Overlay, the consultant shall complete a draft Schedule to the Heritage Overlay and Incorporated Document. The drafting of the schedule and Incorporated Document shall accord with the requirements of the Ministerial Direction - Form and Content of Planning Schemes and </w:t>
      </w:r>
      <w:r w:rsidRPr="00A22683">
        <w:rPr>
          <w:b/>
        </w:rPr>
        <w:t>VPP Practice Note 1 – Applying the Heritage</w:t>
      </w:r>
      <w:r w:rsidRPr="00B95D5E">
        <w:rPr>
          <w:b/>
        </w:rPr>
        <w:t xml:space="preserve"> Overlay</w:t>
      </w:r>
      <w:r w:rsidRPr="00A22683">
        <w:t xml:space="preserve"> and Practice Note 13 – Incorporated and Background Documents.</w:t>
      </w:r>
      <w:r>
        <w:t xml:space="preserve"> (emphasis added)</w:t>
      </w:r>
    </w:p>
    <w:p w:rsidR="00A22683" w:rsidRPr="00A22683" w:rsidRDefault="00A22683" w:rsidP="00A42EED">
      <w:pPr>
        <w:pStyle w:val="ListParagraph"/>
        <w:ind w:left="502"/>
        <w:rPr>
          <w:rFonts w:cs="Arial"/>
          <w:bCs/>
        </w:rPr>
      </w:pPr>
    </w:p>
    <w:p w:rsidR="00FA54DF" w:rsidRPr="005E5E6A" w:rsidRDefault="004A393D" w:rsidP="006416AF">
      <w:pPr>
        <w:pStyle w:val="ListParagraph"/>
        <w:numPr>
          <w:ilvl w:val="0"/>
          <w:numId w:val="10"/>
        </w:numPr>
        <w:spacing w:after="60" w:line="360" w:lineRule="auto"/>
        <w:ind w:left="567" w:right="140" w:hanging="567"/>
        <w:contextualSpacing w:val="0"/>
        <w:jc w:val="both"/>
      </w:pPr>
      <w:r>
        <w:t xml:space="preserve">The assessment of internal controls </w:t>
      </w:r>
      <w:r w:rsidRPr="005E5E6A">
        <w:t xml:space="preserve">provided to Council was considered to be applied selectively to the brutalist building at 31 The Avenue, Coburg.  </w:t>
      </w:r>
      <w:r w:rsidR="00FA54DF" w:rsidRPr="005E5E6A">
        <w:t>Specific reference to what is significant, as required by the practice note, states that t</w:t>
      </w:r>
      <w:r w:rsidR="00917E2C" w:rsidRPr="00917E2C">
        <w:t xml:space="preserve">he exposed concrete detailing to walls and ceilings within the building is significant, as well as the lightwell in the hallway. </w:t>
      </w:r>
    </w:p>
    <w:p w:rsidR="00FA54DF" w:rsidRPr="00FA54DF" w:rsidRDefault="00FA54DF" w:rsidP="006416AF">
      <w:pPr>
        <w:pStyle w:val="ListParagraph"/>
        <w:numPr>
          <w:ilvl w:val="0"/>
          <w:numId w:val="10"/>
        </w:numPr>
        <w:spacing w:after="60" w:line="360" w:lineRule="auto"/>
        <w:ind w:left="567" w:right="140" w:hanging="567"/>
        <w:contextualSpacing w:val="0"/>
        <w:jc w:val="both"/>
      </w:pPr>
      <w:r w:rsidRPr="005E5E6A">
        <w:t>Similarly, the reason for its significance is</w:t>
      </w:r>
      <w:r w:rsidR="005E5E6A" w:rsidRPr="005E5E6A">
        <w:t xml:space="preserve"> the same for the exterior and interior and is</w:t>
      </w:r>
      <w:r w:rsidRPr="005E5E6A">
        <w:t xml:space="preserve"> detailed in the statement as </w:t>
      </w:r>
      <w:r w:rsidRPr="00FA54DF">
        <w:t>exhibit</w:t>
      </w:r>
      <w:r w:rsidRPr="005E5E6A">
        <w:t>ing</w:t>
      </w:r>
      <w:r w:rsidRPr="00FA54DF">
        <w:t xml:space="preserve"> high-quality aesthetic characteristics reflective of Late Twentieth- Century Brutalist design, with regards to the scale, geometric building form and use of off-form concrete. </w:t>
      </w:r>
      <w:r w:rsidR="005E5E6A" w:rsidRPr="005E5E6A">
        <w:t>Furthermore, the exterior and interior re</w:t>
      </w:r>
      <w:r w:rsidRPr="005E5E6A">
        <w:t xml:space="preserve">present a </w:t>
      </w:r>
      <w:r w:rsidRPr="00FA54DF">
        <w:t xml:space="preserve">high degree of technical achievement, as related to the Brutalist era. </w:t>
      </w:r>
    </w:p>
    <w:p w:rsidR="00B95D5E" w:rsidRDefault="00B95D5E" w:rsidP="006416AF">
      <w:pPr>
        <w:pStyle w:val="ListParagraph"/>
        <w:numPr>
          <w:ilvl w:val="0"/>
          <w:numId w:val="10"/>
        </w:numPr>
        <w:spacing w:after="60" w:line="360" w:lineRule="auto"/>
        <w:ind w:left="567" w:right="140" w:hanging="567"/>
        <w:contextualSpacing w:val="0"/>
        <w:jc w:val="both"/>
      </w:pPr>
      <w:r w:rsidRPr="00B95D5E">
        <w:t>Council was satisfied that the assessment was based on photographic evidence of the interior of the building. The standard Heritage Victoria brief for local heritage studies does not require internal inspection</w:t>
      </w:r>
      <w:r>
        <w:t>.  A</w:t>
      </w:r>
      <w:r w:rsidRPr="00B95D5E">
        <w:t xml:space="preserve">s such the fact that the Extent Heritage had not inspected the </w:t>
      </w:r>
      <w:r>
        <w:t>interior</w:t>
      </w:r>
      <w:r w:rsidRPr="00B95D5E">
        <w:t xml:space="preserve"> of the buildings was not questioned. </w:t>
      </w:r>
    </w:p>
    <w:p w:rsidR="00386153" w:rsidRPr="004C2436" w:rsidRDefault="00B95D5E" w:rsidP="004C2436">
      <w:pPr>
        <w:pStyle w:val="ListParagraph"/>
        <w:numPr>
          <w:ilvl w:val="0"/>
          <w:numId w:val="10"/>
        </w:numPr>
        <w:spacing w:after="60" w:line="360" w:lineRule="auto"/>
        <w:ind w:left="567" w:right="140" w:hanging="567"/>
        <w:contextualSpacing w:val="0"/>
        <w:jc w:val="both"/>
      </w:pPr>
      <w:r>
        <w:t>During the exhibition period, the owners of the site did not present</w:t>
      </w:r>
      <w:r w:rsidR="004A393D">
        <w:t xml:space="preserve"> evidence that would provide c</w:t>
      </w:r>
      <w:r>
        <w:t>ontrary</w:t>
      </w:r>
      <w:r w:rsidR="004A393D">
        <w:t xml:space="preserve"> evidence of any extensively modified features.</w:t>
      </w:r>
    </w:p>
    <w:p w:rsidR="000351BD" w:rsidRPr="004C2436" w:rsidRDefault="00860EE4" w:rsidP="004C2436">
      <w:pPr>
        <w:spacing w:after="120" w:line="360" w:lineRule="auto"/>
        <w:ind w:right="140"/>
        <w:jc w:val="both"/>
        <w:rPr>
          <w:b/>
          <w:sz w:val="21"/>
          <w:szCs w:val="21"/>
        </w:rPr>
      </w:pPr>
      <w:r w:rsidRPr="004C2436">
        <w:rPr>
          <w:b/>
          <w:sz w:val="21"/>
          <w:szCs w:val="21"/>
        </w:rPr>
        <w:t>Nominations Process</w:t>
      </w:r>
    </w:p>
    <w:p w:rsidR="00860EE4" w:rsidRPr="000351BD" w:rsidRDefault="000351BD" w:rsidP="006416AF">
      <w:pPr>
        <w:pStyle w:val="ListParagraph"/>
        <w:numPr>
          <w:ilvl w:val="0"/>
          <w:numId w:val="10"/>
        </w:numPr>
        <w:spacing w:after="120" w:line="360" w:lineRule="auto"/>
        <w:ind w:left="567" w:right="140" w:hanging="567"/>
        <w:contextualSpacing w:val="0"/>
        <w:jc w:val="both"/>
        <w:rPr>
          <w:b/>
          <w:sz w:val="21"/>
          <w:szCs w:val="21"/>
        </w:rPr>
      </w:pPr>
      <w:r w:rsidRPr="000351BD">
        <w:rPr>
          <w:sz w:val="21"/>
          <w:szCs w:val="21"/>
        </w:rPr>
        <w:t>As outlined in Council’s Part A submission, a public nomination process was conducted following the completion of Stage 1 of the MHGS in November 2016.</w:t>
      </w:r>
    </w:p>
    <w:p w:rsidR="000351BD" w:rsidRPr="000351BD" w:rsidRDefault="000351BD" w:rsidP="006416AF">
      <w:pPr>
        <w:pStyle w:val="ListParagraph"/>
        <w:numPr>
          <w:ilvl w:val="0"/>
          <w:numId w:val="10"/>
        </w:numPr>
        <w:spacing w:after="120" w:line="360" w:lineRule="auto"/>
        <w:ind w:left="567" w:right="140" w:hanging="567"/>
        <w:contextualSpacing w:val="0"/>
        <w:jc w:val="both"/>
        <w:rPr>
          <w:b/>
          <w:sz w:val="21"/>
          <w:szCs w:val="21"/>
        </w:rPr>
      </w:pPr>
      <w:r>
        <w:rPr>
          <w:sz w:val="21"/>
          <w:szCs w:val="21"/>
        </w:rPr>
        <w:t xml:space="preserve">This nomination process included direct notification to community groups, heritage societies, church groups, rotary clubs.  Posters inviting nominations to the heritage study were displayed at all Council facilities and libraries.  Hard copy nomination forms were also made available at these locations and on request.  An example of a completed nomination form is included in </w:t>
      </w:r>
      <w:r w:rsidR="004C2436" w:rsidRPr="004C2436">
        <w:rPr>
          <w:b/>
          <w:bCs/>
          <w:sz w:val="21"/>
          <w:szCs w:val="21"/>
          <w:u w:val="single"/>
        </w:rPr>
        <w:t xml:space="preserve">Attachment </w:t>
      </w:r>
      <w:r w:rsidR="00DA37B3">
        <w:rPr>
          <w:b/>
          <w:bCs/>
          <w:sz w:val="21"/>
          <w:szCs w:val="21"/>
          <w:u w:val="single"/>
        </w:rPr>
        <w:t>3</w:t>
      </w:r>
      <w:r>
        <w:rPr>
          <w:sz w:val="21"/>
          <w:szCs w:val="21"/>
        </w:rPr>
        <w:t>.  In addition, nominations were collected via an online form and were also received via Councils corporate and strategic planning email accounts.</w:t>
      </w:r>
    </w:p>
    <w:p w:rsidR="004C2436" w:rsidRPr="009618F7" w:rsidRDefault="000351BD" w:rsidP="004C2436">
      <w:pPr>
        <w:pStyle w:val="ListParagraph"/>
        <w:numPr>
          <w:ilvl w:val="0"/>
          <w:numId w:val="10"/>
        </w:numPr>
        <w:spacing w:after="120" w:line="360" w:lineRule="auto"/>
        <w:ind w:left="567" w:right="140" w:hanging="567"/>
        <w:contextualSpacing w:val="0"/>
        <w:jc w:val="both"/>
        <w:rPr>
          <w:b/>
          <w:sz w:val="21"/>
          <w:szCs w:val="21"/>
        </w:rPr>
      </w:pPr>
      <w:r>
        <w:rPr>
          <w:sz w:val="21"/>
          <w:szCs w:val="21"/>
        </w:rPr>
        <w:t xml:space="preserve">Additional nominations were received through various channels (email, telephone, letters and councillor requests) between the nomination </w:t>
      </w:r>
      <w:r w:rsidR="00EE1CCA">
        <w:rPr>
          <w:sz w:val="21"/>
          <w:szCs w:val="21"/>
        </w:rPr>
        <w:t>period</w:t>
      </w:r>
      <w:r>
        <w:rPr>
          <w:sz w:val="21"/>
          <w:szCs w:val="21"/>
        </w:rPr>
        <w:t xml:space="preserve"> (November 2016) and the </w:t>
      </w:r>
      <w:r w:rsidR="00EE1CCA">
        <w:rPr>
          <w:sz w:val="21"/>
          <w:szCs w:val="21"/>
        </w:rPr>
        <w:t xml:space="preserve">commencement of the </w:t>
      </w:r>
      <w:r>
        <w:rPr>
          <w:sz w:val="21"/>
          <w:szCs w:val="21"/>
        </w:rPr>
        <w:t>Stage 1 nomination study (December 2018) when the heritage consultants were engaged</w:t>
      </w:r>
      <w:r w:rsidR="00EE1CCA">
        <w:rPr>
          <w:sz w:val="21"/>
          <w:szCs w:val="21"/>
        </w:rPr>
        <w:t>.</w:t>
      </w:r>
    </w:p>
    <w:p w:rsidR="00A75885" w:rsidRPr="004C2436" w:rsidRDefault="00526B25" w:rsidP="004C2436">
      <w:pPr>
        <w:spacing w:after="120" w:line="360" w:lineRule="auto"/>
        <w:ind w:right="140"/>
        <w:jc w:val="both"/>
        <w:rPr>
          <w:b/>
          <w:sz w:val="21"/>
          <w:szCs w:val="21"/>
        </w:rPr>
      </w:pPr>
      <w:r w:rsidRPr="004C2436">
        <w:rPr>
          <w:b/>
          <w:sz w:val="21"/>
          <w:szCs w:val="21"/>
        </w:rPr>
        <w:t>Nomination of L</w:t>
      </w:r>
      <w:r w:rsidR="00452B8D" w:rsidRPr="004C2436">
        <w:rPr>
          <w:b/>
          <w:sz w:val="21"/>
          <w:szCs w:val="21"/>
        </w:rPr>
        <w:t>or</w:t>
      </w:r>
      <w:r w:rsidR="005B04AE" w:rsidRPr="004C2436">
        <w:rPr>
          <w:b/>
          <w:sz w:val="21"/>
          <w:szCs w:val="21"/>
        </w:rPr>
        <w:t>r</w:t>
      </w:r>
      <w:r w:rsidR="00452B8D" w:rsidRPr="004C2436">
        <w:rPr>
          <w:b/>
          <w:sz w:val="21"/>
          <w:szCs w:val="21"/>
        </w:rPr>
        <w:t>eto</w:t>
      </w:r>
    </w:p>
    <w:p w:rsidR="004B0BA0" w:rsidRPr="004B0BA0" w:rsidRDefault="00452B8D" w:rsidP="006416AF">
      <w:pPr>
        <w:pStyle w:val="ListParagraph"/>
        <w:numPr>
          <w:ilvl w:val="0"/>
          <w:numId w:val="10"/>
        </w:numPr>
        <w:spacing w:after="120" w:line="360" w:lineRule="auto"/>
        <w:ind w:left="567" w:right="140" w:hanging="567"/>
        <w:contextualSpacing w:val="0"/>
        <w:jc w:val="both"/>
        <w:rPr>
          <w:rFonts w:cs="Calibri"/>
          <w:sz w:val="21"/>
          <w:szCs w:val="21"/>
          <w:shd w:val="clear" w:color="auto" w:fill="FFFFFF"/>
        </w:rPr>
      </w:pPr>
      <w:bookmarkStart w:id="2" w:name="_Hlk97123574"/>
      <w:r>
        <w:rPr>
          <w:sz w:val="21"/>
          <w:szCs w:val="21"/>
        </w:rPr>
        <w:t>In Council’s experience, often additional places are identified whilst consultants are undertaking field work to ground truth places as part of the preparation of Local Heritage Studies</w:t>
      </w:r>
      <w:r w:rsidR="004B0BA0">
        <w:rPr>
          <w:sz w:val="21"/>
          <w:szCs w:val="21"/>
        </w:rPr>
        <w:t xml:space="preserve">.  In addition, included in the project brief for the Stage 2 study, </w:t>
      </w:r>
      <w:r w:rsidR="009F1A58">
        <w:rPr>
          <w:sz w:val="21"/>
          <w:szCs w:val="21"/>
        </w:rPr>
        <w:t xml:space="preserve">included this </w:t>
      </w:r>
      <w:r w:rsidR="004B0BA0">
        <w:rPr>
          <w:sz w:val="21"/>
          <w:szCs w:val="21"/>
        </w:rPr>
        <w:t xml:space="preserve">note: </w:t>
      </w:r>
    </w:p>
    <w:p w:rsidR="004B0BA0" w:rsidRPr="004B0BA0" w:rsidRDefault="004B0BA0" w:rsidP="004B0BA0">
      <w:pPr>
        <w:pStyle w:val="Quote"/>
        <w:rPr>
          <w:rFonts w:eastAsia="Calibri"/>
          <w:sz w:val="21"/>
          <w:szCs w:val="21"/>
        </w:rPr>
      </w:pPr>
      <w:r w:rsidRPr="004B0BA0">
        <w:rPr>
          <w:rFonts w:eastAsia="Calibri"/>
          <w:sz w:val="21"/>
          <w:szCs w:val="21"/>
        </w:rPr>
        <w:lastRenderedPageBreak/>
        <w:t>Any additional places identified during research must be discussed with Council prior to their inclusion within the heritage study.</w:t>
      </w:r>
    </w:p>
    <w:p w:rsidR="00452B8D" w:rsidRPr="00A75885" w:rsidRDefault="00452B8D" w:rsidP="006416AF">
      <w:pPr>
        <w:pStyle w:val="ListParagraph"/>
        <w:numPr>
          <w:ilvl w:val="0"/>
          <w:numId w:val="17"/>
        </w:numPr>
        <w:spacing w:after="120" w:line="360" w:lineRule="auto"/>
        <w:ind w:left="567" w:right="140" w:hanging="567"/>
        <w:contextualSpacing w:val="0"/>
        <w:jc w:val="both"/>
        <w:rPr>
          <w:rFonts w:cs="Calibri"/>
          <w:sz w:val="21"/>
          <w:szCs w:val="21"/>
          <w:shd w:val="clear" w:color="auto" w:fill="FFFFFF"/>
        </w:rPr>
      </w:pPr>
      <w:r>
        <w:rPr>
          <w:sz w:val="21"/>
          <w:szCs w:val="21"/>
        </w:rPr>
        <w:t>In the case of Lorreto the consultants that prepared the Stage 1 - Preliminary Assessment for the Moreland Heritage Nomination Study – Context Pty Ltd. identified that the place had potential for local heritage significance and included it in the Stage 1 Study and recommended further assessment.</w:t>
      </w:r>
    </w:p>
    <w:bookmarkEnd w:id="2"/>
    <w:p w:rsidR="00FA54DF" w:rsidRDefault="00FA54DF" w:rsidP="004C2436">
      <w:pPr>
        <w:pStyle w:val="Maintext"/>
        <w:ind w:left="0" w:firstLine="0"/>
        <w:rPr>
          <w:b/>
        </w:rPr>
      </w:pPr>
      <w:r w:rsidRPr="00FA54DF">
        <w:rPr>
          <w:b/>
        </w:rPr>
        <w:t>Consultation</w:t>
      </w:r>
    </w:p>
    <w:p w:rsidR="001E5C26" w:rsidRPr="00EE1CCA" w:rsidRDefault="001E5C26" w:rsidP="00EE1CCA">
      <w:pPr>
        <w:pStyle w:val="Maintext"/>
        <w:ind w:left="0" w:firstLine="567"/>
        <w:rPr>
          <w:bCs/>
          <w:u w:val="single"/>
        </w:rPr>
      </w:pPr>
      <w:r w:rsidRPr="00EE1CCA">
        <w:rPr>
          <w:bCs/>
          <w:u w:val="single"/>
        </w:rPr>
        <w:t>Consultation of the Moreland Heritage Nominations Study</w:t>
      </w:r>
    </w:p>
    <w:p w:rsidR="001E5C26" w:rsidRDefault="001E5C26" w:rsidP="001E5C26">
      <w:pPr>
        <w:pStyle w:val="Maintext"/>
        <w:numPr>
          <w:ilvl w:val="0"/>
          <w:numId w:val="1"/>
        </w:numPr>
        <w:ind w:left="567" w:hanging="567"/>
      </w:pPr>
      <w:r>
        <w:t xml:space="preserve">Consultation of the Moreland Heritage Nomination Study </w:t>
      </w:r>
      <w:r w:rsidR="00EE1CCA">
        <w:t xml:space="preserve">was undertaken in accordance with section 19 of the planning and environment act as part of the exhibition of Amendment C208more. </w:t>
      </w:r>
      <w:r>
        <w:t>This is a common approach undertaken by Moreland with their previous studies as well as by other Councils.</w:t>
      </w:r>
    </w:p>
    <w:p w:rsidR="001E5C26" w:rsidRPr="00DA15F7" w:rsidRDefault="001E5C26" w:rsidP="001E5C26">
      <w:pPr>
        <w:pStyle w:val="Maintext"/>
        <w:numPr>
          <w:ilvl w:val="0"/>
          <w:numId w:val="1"/>
        </w:numPr>
        <w:ind w:left="567" w:hanging="567"/>
      </w:pPr>
      <w:r>
        <w:t xml:space="preserve">As outlined in Council’s Part A submission, </w:t>
      </w:r>
      <w:r w:rsidRPr="00DA15F7">
        <w:t>exhibition of the amendment included direct notification to:</w:t>
      </w:r>
    </w:p>
    <w:p w:rsidR="001E5C26" w:rsidRPr="00DA15F7" w:rsidRDefault="001E5C26" w:rsidP="001E5C26">
      <w:pPr>
        <w:pStyle w:val="Bullet"/>
        <w:numPr>
          <w:ilvl w:val="0"/>
          <w:numId w:val="6"/>
        </w:numPr>
        <w:spacing w:line="360" w:lineRule="auto"/>
        <w:ind w:left="1134" w:right="140"/>
        <w:jc w:val="both"/>
        <w:rPr>
          <w:sz w:val="21"/>
          <w:szCs w:val="21"/>
          <w:lang w:eastAsia="en-AU"/>
        </w:rPr>
      </w:pPr>
      <w:r w:rsidRPr="00DA15F7">
        <w:rPr>
          <w:sz w:val="21"/>
          <w:szCs w:val="21"/>
          <w:lang w:eastAsia="en-AU"/>
        </w:rPr>
        <w:t>Relevant state government departments and Ministers</w:t>
      </w:r>
    </w:p>
    <w:p w:rsidR="001E5C26" w:rsidRPr="006A378B" w:rsidRDefault="001E5C26" w:rsidP="001E5C26">
      <w:pPr>
        <w:pStyle w:val="Bullet"/>
        <w:numPr>
          <w:ilvl w:val="0"/>
          <w:numId w:val="6"/>
        </w:numPr>
        <w:spacing w:line="360" w:lineRule="auto"/>
        <w:ind w:left="1134" w:right="140"/>
        <w:jc w:val="both"/>
        <w:rPr>
          <w:sz w:val="21"/>
          <w:szCs w:val="21"/>
          <w:lang w:eastAsia="en-AU"/>
        </w:rPr>
      </w:pPr>
      <w:r w:rsidRPr="006A378B">
        <w:rPr>
          <w:sz w:val="21"/>
          <w:szCs w:val="21"/>
          <w:lang w:eastAsia="en-AU"/>
        </w:rPr>
        <w:t>A</w:t>
      </w:r>
      <w:r>
        <w:rPr>
          <w:sz w:val="21"/>
          <w:szCs w:val="21"/>
          <w:lang w:eastAsia="en-AU"/>
        </w:rPr>
        <w:t>ll a</w:t>
      </w:r>
      <w:r w:rsidRPr="006A378B">
        <w:rPr>
          <w:sz w:val="21"/>
          <w:szCs w:val="21"/>
          <w:lang w:eastAsia="en-AU"/>
        </w:rPr>
        <w:t>butting Municipal Councils</w:t>
      </w:r>
    </w:p>
    <w:p w:rsidR="001E5C26" w:rsidRPr="006A378B" w:rsidRDefault="001E5C26" w:rsidP="001E5C26">
      <w:pPr>
        <w:pStyle w:val="Bullet"/>
        <w:numPr>
          <w:ilvl w:val="0"/>
          <w:numId w:val="6"/>
        </w:numPr>
        <w:spacing w:line="360" w:lineRule="auto"/>
        <w:ind w:left="1134" w:right="140"/>
        <w:jc w:val="both"/>
        <w:rPr>
          <w:sz w:val="21"/>
          <w:szCs w:val="21"/>
          <w:lang w:eastAsia="en-AU"/>
        </w:rPr>
      </w:pPr>
      <w:r w:rsidRPr="006A378B">
        <w:rPr>
          <w:sz w:val="21"/>
          <w:szCs w:val="21"/>
          <w:lang w:eastAsia="en-AU"/>
        </w:rPr>
        <w:t>Statutory referral authorities operating within Moreland</w:t>
      </w:r>
    </w:p>
    <w:p w:rsidR="001E5C26" w:rsidRPr="006A378B" w:rsidRDefault="001E5C26" w:rsidP="001E5C26">
      <w:pPr>
        <w:pStyle w:val="Bullet"/>
        <w:numPr>
          <w:ilvl w:val="0"/>
          <w:numId w:val="6"/>
        </w:numPr>
        <w:spacing w:line="360" w:lineRule="auto"/>
        <w:ind w:left="1134" w:right="140"/>
        <w:jc w:val="both"/>
        <w:rPr>
          <w:sz w:val="21"/>
          <w:szCs w:val="21"/>
          <w:lang w:eastAsia="en-AU"/>
        </w:rPr>
      </w:pPr>
      <w:r w:rsidRPr="006A378B">
        <w:rPr>
          <w:sz w:val="21"/>
          <w:szCs w:val="21"/>
          <w:lang w:eastAsia="en-AU"/>
        </w:rPr>
        <w:t>Owners and Occupiers of affected properties</w:t>
      </w:r>
    </w:p>
    <w:p w:rsidR="001E5C26" w:rsidRDefault="001E5C26" w:rsidP="001E5C26">
      <w:pPr>
        <w:pStyle w:val="Bullet"/>
        <w:numPr>
          <w:ilvl w:val="0"/>
          <w:numId w:val="6"/>
        </w:numPr>
        <w:spacing w:line="360" w:lineRule="auto"/>
        <w:ind w:left="1134" w:right="140"/>
        <w:jc w:val="both"/>
        <w:rPr>
          <w:sz w:val="21"/>
          <w:szCs w:val="21"/>
          <w:lang w:eastAsia="en-AU"/>
        </w:rPr>
      </w:pPr>
      <w:r w:rsidRPr="006A378B">
        <w:rPr>
          <w:sz w:val="21"/>
          <w:szCs w:val="21"/>
          <w:lang w:eastAsia="en-AU"/>
        </w:rPr>
        <w:t>Owners and Occupiers of properties adjoining places proposed to be in a new HO</w:t>
      </w:r>
    </w:p>
    <w:p w:rsidR="001E5C26" w:rsidRPr="004B202E" w:rsidRDefault="001E5C26" w:rsidP="001E5C26">
      <w:pPr>
        <w:pStyle w:val="Bullet"/>
        <w:numPr>
          <w:ilvl w:val="0"/>
          <w:numId w:val="6"/>
        </w:numPr>
        <w:spacing w:line="360" w:lineRule="auto"/>
        <w:ind w:left="1134" w:right="140"/>
        <w:jc w:val="both"/>
        <w:rPr>
          <w:sz w:val="21"/>
          <w:szCs w:val="21"/>
          <w:lang w:eastAsia="en-AU"/>
        </w:rPr>
      </w:pPr>
      <w:r w:rsidRPr="004B202E">
        <w:rPr>
          <w:sz w:val="21"/>
          <w:szCs w:val="21"/>
          <w:lang w:eastAsia="en-AU"/>
        </w:rPr>
        <w:t>Community members who nominated places in 2016</w:t>
      </w:r>
    </w:p>
    <w:p w:rsidR="001E5C26" w:rsidRPr="004B202E" w:rsidRDefault="001E5C26" w:rsidP="001E5C26">
      <w:pPr>
        <w:pStyle w:val="Bullet"/>
        <w:numPr>
          <w:ilvl w:val="0"/>
          <w:numId w:val="6"/>
        </w:numPr>
        <w:spacing w:line="360" w:lineRule="auto"/>
        <w:ind w:left="1134" w:right="140"/>
        <w:contextualSpacing w:val="0"/>
        <w:jc w:val="both"/>
        <w:rPr>
          <w:sz w:val="21"/>
          <w:szCs w:val="21"/>
          <w:lang w:eastAsia="en-AU"/>
        </w:rPr>
      </w:pPr>
      <w:r w:rsidRPr="004B202E">
        <w:rPr>
          <w:sz w:val="21"/>
          <w:szCs w:val="21"/>
          <w:lang w:eastAsia="en-AU"/>
        </w:rPr>
        <w:t>Relevant community groups</w:t>
      </w:r>
    </w:p>
    <w:p w:rsidR="001E5C26" w:rsidRPr="004B202E" w:rsidRDefault="001E5C26" w:rsidP="006416AF">
      <w:pPr>
        <w:pStyle w:val="ListParagraph"/>
        <w:numPr>
          <w:ilvl w:val="0"/>
          <w:numId w:val="11"/>
        </w:numPr>
        <w:spacing w:after="120" w:line="360" w:lineRule="auto"/>
        <w:ind w:left="567" w:right="140" w:hanging="567"/>
        <w:contextualSpacing w:val="0"/>
        <w:jc w:val="both"/>
        <w:rPr>
          <w:sz w:val="21"/>
          <w:szCs w:val="21"/>
        </w:rPr>
      </w:pPr>
      <w:r w:rsidRPr="004B202E">
        <w:rPr>
          <w:sz w:val="21"/>
          <w:szCs w:val="21"/>
        </w:rPr>
        <w:t>To reach the wider community and ensure the community had an opportunity to learn about the Amendment, the following notification was also undertaken:</w:t>
      </w:r>
    </w:p>
    <w:p w:rsidR="001E5C26" w:rsidRDefault="001E5C26" w:rsidP="001E5C26">
      <w:pPr>
        <w:pStyle w:val="Bullet"/>
        <w:numPr>
          <w:ilvl w:val="0"/>
          <w:numId w:val="6"/>
        </w:numPr>
        <w:spacing w:line="360" w:lineRule="auto"/>
        <w:ind w:left="1134" w:right="140"/>
        <w:jc w:val="both"/>
        <w:rPr>
          <w:sz w:val="21"/>
          <w:szCs w:val="21"/>
          <w:lang w:eastAsia="en-AU"/>
        </w:rPr>
      </w:pPr>
      <w:r w:rsidRPr="004B202E">
        <w:rPr>
          <w:sz w:val="21"/>
          <w:szCs w:val="21"/>
          <w:lang w:eastAsia="en-AU"/>
        </w:rPr>
        <w:t>Public notice in the Herald Sun and The Age on 23 August 2021</w:t>
      </w:r>
    </w:p>
    <w:p w:rsidR="001E5C26" w:rsidRPr="004B202E" w:rsidRDefault="001E5C26" w:rsidP="001E5C26">
      <w:pPr>
        <w:pStyle w:val="Bullet"/>
        <w:numPr>
          <w:ilvl w:val="0"/>
          <w:numId w:val="6"/>
        </w:numPr>
        <w:spacing w:line="360" w:lineRule="auto"/>
        <w:ind w:left="1134" w:right="140"/>
        <w:jc w:val="both"/>
        <w:rPr>
          <w:sz w:val="21"/>
          <w:szCs w:val="21"/>
          <w:lang w:eastAsia="en-AU"/>
        </w:rPr>
      </w:pPr>
      <w:r>
        <w:rPr>
          <w:sz w:val="21"/>
          <w:szCs w:val="21"/>
          <w:lang w:eastAsia="en-AU"/>
        </w:rPr>
        <w:t xml:space="preserve">Public notice in </w:t>
      </w:r>
      <w:r w:rsidRPr="004B202E">
        <w:rPr>
          <w:sz w:val="21"/>
          <w:szCs w:val="21"/>
          <w:lang w:eastAsia="en-AU"/>
        </w:rPr>
        <w:t>the Government Gazette on 26 August 2021</w:t>
      </w:r>
    </w:p>
    <w:p w:rsidR="001E5C26" w:rsidRPr="004B202E" w:rsidRDefault="001E5C26" w:rsidP="001E5C26">
      <w:pPr>
        <w:pStyle w:val="Bullet"/>
        <w:numPr>
          <w:ilvl w:val="0"/>
          <w:numId w:val="6"/>
        </w:numPr>
        <w:spacing w:line="360" w:lineRule="auto"/>
        <w:ind w:left="1134" w:right="140"/>
        <w:jc w:val="both"/>
        <w:rPr>
          <w:sz w:val="21"/>
          <w:szCs w:val="21"/>
          <w:lang w:eastAsia="en-AU"/>
        </w:rPr>
      </w:pPr>
      <w:r w:rsidRPr="004B202E">
        <w:rPr>
          <w:sz w:val="21"/>
          <w:szCs w:val="21"/>
          <w:lang w:eastAsia="en-AU"/>
        </w:rPr>
        <w:t>C208more focused Facebook post on 31 August 2021</w:t>
      </w:r>
    </w:p>
    <w:p w:rsidR="001E5C26" w:rsidRPr="004B202E" w:rsidRDefault="001E5C26" w:rsidP="001E5C26">
      <w:pPr>
        <w:pStyle w:val="Bullet"/>
        <w:numPr>
          <w:ilvl w:val="0"/>
          <w:numId w:val="6"/>
        </w:numPr>
        <w:spacing w:line="360" w:lineRule="auto"/>
        <w:ind w:left="1134" w:right="140"/>
        <w:jc w:val="both"/>
        <w:rPr>
          <w:sz w:val="21"/>
          <w:szCs w:val="21"/>
          <w:lang w:eastAsia="en-AU"/>
        </w:rPr>
      </w:pPr>
      <w:r w:rsidRPr="004B202E">
        <w:rPr>
          <w:sz w:val="21"/>
          <w:szCs w:val="21"/>
          <w:lang w:eastAsia="en-AU"/>
        </w:rPr>
        <w:t>C208more project page on Council’s website describing the Amendment and providing access to all the Amendment documentation and an online form to lodge a submission.</w:t>
      </w:r>
    </w:p>
    <w:p w:rsidR="001E5C26" w:rsidRDefault="001E5C26" w:rsidP="001E5C26">
      <w:pPr>
        <w:pStyle w:val="Maintext"/>
        <w:numPr>
          <w:ilvl w:val="0"/>
          <w:numId w:val="1"/>
        </w:numPr>
        <w:ind w:left="567" w:hanging="567"/>
      </w:pPr>
      <w:r>
        <w:t xml:space="preserve">This process ensured that key historical groups and all owner and occupiers of the heritage places had an opportunity to review the study and provide additional historical information to improve and update the study. </w:t>
      </w:r>
    </w:p>
    <w:p w:rsidR="00563160" w:rsidRDefault="001E5C26" w:rsidP="009618F7">
      <w:pPr>
        <w:pStyle w:val="Maintext"/>
        <w:numPr>
          <w:ilvl w:val="0"/>
          <w:numId w:val="1"/>
        </w:numPr>
        <w:ind w:left="567" w:hanging="567"/>
      </w:pPr>
      <w:r>
        <w:t xml:space="preserve">As can be shown in the number of changes Council has made to the Amendment in response to submission, this consultation approach has enabled the study to be refined. </w:t>
      </w:r>
    </w:p>
    <w:p w:rsidR="00BD5426" w:rsidRPr="00BD5426" w:rsidRDefault="00BD5426" w:rsidP="00A75885">
      <w:pPr>
        <w:pStyle w:val="Maintext"/>
        <w:ind w:firstLine="0"/>
        <w:rPr>
          <w:u w:val="single"/>
        </w:rPr>
      </w:pPr>
      <w:r w:rsidRPr="00BD5426">
        <w:rPr>
          <w:u w:val="single"/>
        </w:rPr>
        <w:t>Interim Heritage Protection</w:t>
      </w:r>
    </w:p>
    <w:p w:rsidR="00BD5426" w:rsidRDefault="00FA54DF" w:rsidP="006416AF">
      <w:pPr>
        <w:pStyle w:val="ListParagraph"/>
        <w:numPr>
          <w:ilvl w:val="0"/>
          <w:numId w:val="17"/>
        </w:numPr>
        <w:spacing w:after="120" w:line="360" w:lineRule="auto"/>
        <w:ind w:left="567" w:right="140" w:hanging="567"/>
        <w:contextualSpacing w:val="0"/>
        <w:jc w:val="both"/>
        <w:rPr>
          <w:sz w:val="21"/>
          <w:szCs w:val="21"/>
        </w:rPr>
      </w:pPr>
      <w:r w:rsidRPr="00FA54DF">
        <w:rPr>
          <w:sz w:val="21"/>
          <w:szCs w:val="21"/>
        </w:rPr>
        <w:t>The Moreland Nominations Heritage Study was completed in June 2020.  Council endorsed the Study and a commitment to implement the recommendations of the Study by applying the Heritage Overlay to these properties on a permanent basis in August 2020.</w:t>
      </w:r>
    </w:p>
    <w:p w:rsidR="00FA54DF" w:rsidRPr="00FA54DF" w:rsidRDefault="00FA54DF" w:rsidP="006416AF">
      <w:pPr>
        <w:pStyle w:val="ListParagraph"/>
        <w:numPr>
          <w:ilvl w:val="0"/>
          <w:numId w:val="17"/>
        </w:numPr>
        <w:spacing w:after="120" w:line="360" w:lineRule="auto"/>
        <w:ind w:left="567" w:right="140" w:hanging="567"/>
        <w:contextualSpacing w:val="0"/>
        <w:jc w:val="both"/>
        <w:rPr>
          <w:sz w:val="21"/>
          <w:szCs w:val="21"/>
        </w:rPr>
      </w:pPr>
      <w:r w:rsidRPr="00FA54DF">
        <w:rPr>
          <w:sz w:val="21"/>
          <w:szCs w:val="21"/>
        </w:rPr>
        <w:t>Council is committed in</w:t>
      </w:r>
      <w:r w:rsidR="00BD5426">
        <w:rPr>
          <w:sz w:val="21"/>
          <w:szCs w:val="21"/>
        </w:rPr>
        <w:t xml:space="preserve"> the</w:t>
      </w:r>
      <w:r w:rsidRPr="00FA54DF">
        <w:rPr>
          <w:sz w:val="21"/>
          <w:szCs w:val="21"/>
        </w:rPr>
        <w:t xml:space="preserve"> Heritage Action Plan 2017 to implement permanent heritage controls over all sites which are identified to be significant and at threat of demolition. An amendment made under </w:t>
      </w:r>
      <w:r w:rsidRPr="00FA54DF">
        <w:rPr>
          <w:sz w:val="21"/>
          <w:szCs w:val="21"/>
        </w:rPr>
        <w:lastRenderedPageBreak/>
        <w:t xml:space="preserve">the Minister’s prescribed powers </w:t>
      </w:r>
      <w:r w:rsidR="00BD5426">
        <w:rPr>
          <w:sz w:val="21"/>
          <w:szCs w:val="21"/>
        </w:rPr>
        <w:t xml:space="preserve">was considered to be the best course of action to </w:t>
      </w:r>
      <w:r w:rsidRPr="00FA54DF">
        <w:rPr>
          <w:sz w:val="21"/>
          <w:szCs w:val="21"/>
        </w:rPr>
        <w:t>ensure the</w:t>
      </w:r>
      <w:r w:rsidR="00BD5426">
        <w:rPr>
          <w:sz w:val="21"/>
          <w:szCs w:val="21"/>
        </w:rPr>
        <w:t xml:space="preserve"> identified </w:t>
      </w:r>
      <w:r w:rsidRPr="00FA54DF">
        <w:rPr>
          <w:sz w:val="21"/>
          <w:szCs w:val="21"/>
        </w:rPr>
        <w:t xml:space="preserve">sites </w:t>
      </w:r>
      <w:r w:rsidR="00BD5426">
        <w:rPr>
          <w:sz w:val="21"/>
          <w:szCs w:val="21"/>
        </w:rPr>
        <w:t>were</w:t>
      </w:r>
      <w:r w:rsidRPr="00FA54DF">
        <w:rPr>
          <w:sz w:val="21"/>
          <w:szCs w:val="21"/>
        </w:rPr>
        <w:t xml:space="preserve"> protected on an interim basis while a separate amendment to introduce the same controls on a permanent basis </w:t>
      </w:r>
      <w:r w:rsidR="00EE1CCA">
        <w:rPr>
          <w:sz w:val="21"/>
          <w:szCs w:val="21"/>
        </w:rPr>
        <w:t>was</w:t>
      </w:r>
      <w:r w:rsidRPr="00FA54DF">
        <w:rPr>
          <w:sz w:val="21"/>
          <w:szCs w:val="21"/>
        </w:rPr>
        <w:t xml:space="preserve"> being processed. This </w:t>
      </w:r>
      <w:r w:rsidR="00EE1CCA">
        <w:rPr>
          <w:sz w:val="21"/>
          <w:szCs w:val="21"/>
        </w:rPr>
        <w:t xml:space="preserve">assisted </w:t>
      </w:r>
      <w:r w:rsidRPr="00FA54DF">
        <w:rPr>
          <w:sz w:val="21"/>
          <w:szCs w:val="21"/>
        </w:rPr>
        <w:t>Council to adhere to its obligations under Section 4(1) of the Planning and Environment Act 1987 in relation to conserving places of local values.</w:t>
      </w:r>
    </w:p>
    <w:p w:rsidR="00FA54DF" w:rsidRPr="00FA54DF" w:rsidRDefault="00BD5426" w:rsidP="006416AF">
      <w:pPr>
        <w:pStyle w:val="ListParagraph"/>
        <w:numPr>
          <w:ilvl w:val="0"/>
          <w:numId w:val="17"/>
        </w:numPr>
        <w:spacing w:after="120" w:line="360" w:lineRule="auto"/>
        <w:ind w:left="567" w:right="140" w:hanging="567"/>
        <w:contextualSpacing w:val="0"/>
        <w:jc w:val="both"/>
        <w:rPr>
          <w:sz w:val="21"/>
          <w:szCs w:val="21"/>
        </w:rPr>
      </w:pPr>
      <w:r>
        <w:rPr>
          <w:sz w:val="21"/>
          <w:szCs w:val="21"/>
        </w:rPr>
        <w:t xml:space="preserve">At the time of the finalisation of the study, Moreland was experiencing an </w:t>
      </w:r>
      <w:r w:rsidR="00FA54DF" w:rsidRPr="00FA54DF">
        <w:rPr>
          <w:sz w:val="21"/>
          <w:szCs w:val="21"/>
        </w:rPr>
        <w:t xml:space="preserve">exceptional level of development pressure.  </w:t>
      </w:r>
      <w:r>
        <w:rPr>
          <w:sz w:val="21"/>
          <w:szCs w:val="21"/>
        </w:rPr>
        <w:t>This demonstrated</w:t>
      </w:r>
      <w:r w:rsidR="00FA54DF" w:rsidRPr="00FA54DF">
        <w:rPr>
          <w:sz w:val="21"/>
          <w:szCs w:val="21"/>
        </w:rPr>
        <w:t xml:space="preserve"> an increased chance of threat to the loss of local heritage and subsequent resourcing pressure to seek interim protection</w:t>
      </w:r>
      <w:r w:rsidR="00EE1CCA">
        <w:rPr>
          <w:sz w:val="21"/>
          <w:szCs w:val="21"/>
        </w:rPr>
        <w:t xml:space="preserve"> for separate places</w:t>
      </w:r>
      <w:r w:rsidR="00FA54DF" w:rsidRPr="00FA54DF">
        <w:rPr>
          <w:sz w:val="21"/>
          <w:szCs w:val="21"/>
        </w:rPr>
        <w:t>. Council consider</w:t>
      </w:r>
      <w:r>
        <w:rPr>
          <w:sz w:val="21"/>
          <w:szCs w:val="21"/>
        </w:rPr>
        <w:t>ed</w:t>
      </w:r>
      <w:r w:rsidR="00FA54DF" w:rsidRPr="00FA54DF">
        <w:rPr>
          <w:sz w:val="21"/>
          <w:szCs w:val="21"/>
        </w:rPr>
        <w:t xml:space="preserve"> it most effective to apply interim heritage controls to the places identified as being locally significant by the Moreland Heritage Nominations Study to avoid the threat of demolition. </w:t>
      </w:r>
      <w:r>
        <w:rPr>
          <w:sz w:val="21"/>
          <w:szCs w:val="21"/>
        </w:rPr>
        <w:t>Interim heritage controls also ensured</w:t>
      </w:r>
      <w:r w:rsidR="00FA54DF" w:rsidRPr="00FA54DF">
        <w:rPr>
          <w:sz w:val="21"/>
          <w:szCs w:val="21"/>
        </w:rPr>
        <w:t xml:space="preserve"> that </w:t>
      </w:r>
      <w:r>
        <w:rPr>
          <w:sz w:val="21"/>
          <w:szCs w:val="21"/>
        </w:rPr>
        <w:t>the community and developers were</w:t>
      </w:r>
      <w:r w:rsidR="00FA54DF" w:rsidRPr="00FA54DF">
        <w:rPr>
          <w:sz w:val="21"/>
          <w:szCs w:val="21"/>
        </w:rPr>
        <w:t xml:space="preserve"> informed of the significance of a property prior to preparing costly development applications.</w:t>
      </w:r>
    </w:p>
    <w:p w:rsidR="001F26E4" w:rsidRPr="001F26E4" w:rsidRDefault="001F26E4" w:rsidP="001F26E4">
      <w:pPr>
        <w:pStyle w:val="Maintext"/>
        <w:rPr>
          <w:b/>
          <w:bCs/>
        </w:rPr>
      </w:pPr>
      <w:r w:rsidRPr="001F26E4">
        <w:rPr>
          <w:b/>
          <w:bCs/>
        </w:rPr>
        <w:t>HO172 The Grove/Sydney Road Precinct and 31 The Avenue, Coburg</w:t>
      </w:r>
    </w:p>
    <w:p w:rsidR="001F26E4" w:rsidRPr="001F26E4" w:rsidRDefault="001F26E4" w:rsidP="001F26E4">
      <w:pPr>
        <w:pStyle w:val="Maintext"/>
        <w:ind w:left="0" w:firstLine="0"/>
        <w:rPr>
          <w:bCs/>
          <w:u w:val="single"/>
        </w:rPr>
      </w:pPr>
      <w:r w:rsidRPr="001F26E4">
        <w:rPr>
          <w:bCs/>
          <w:u w:val="single"/>
        </w:rPr>
        <w:t>Changes to HO172 (The Grove/Sydney Road Precinct) based on Dr James recommendations</w:t>
      </w:r>
    </w:p>
    <w:p w:rsidR="001F26E4" w:rsidRDefault="001F26E4" w:rsidP="001F26E4">
      <w:pPr>
        <w:pStyle w:val="Maintext"/>
        <w:numPr>
          <w:ilvl w:val="0"/>
          <w:numId w:val="1"/>
        </w:numPr>
        <w:ind w:left="567" w:hanging="567"/>
      </w:pPr>
      <w:r>
        <w:t>The Statement of Significance for HO172 – The Grove/Sydney Road Precinct does not include any reference to 31 The Avenue Coburg. This omission in the statement is a key reason for the additional research to understand what, if any, contribution 31 The Avenue Coburg has to HO172.</w:t>
      </w:r>
    </w:p>
    <w:p w:rsidR="004C2436" w:rsidRDefault="001F26E4" w:rsidP="004C2436">
      <w:pPr>
        <w:pStyle w:val="Maintext"/>
        <w:numPr>
          <w:ilvl w:val="0"/>
          <w:numId w:val="1"/>
        </w:numPr>
        <w:ind w:left="567" w:hanging="567"/>
      </w:pPr>
      <w:r>
        <w:t>Dr James findings have concluded that</w:t>
      </w:r>
      <w:r w:rsidR="009268C0">
        <w:t xml:space="preserve"> </w:t>
      </w:r>
      <w:bookmarkStart w:id="3" w:name="_GoBack"/>
      <w:bookmarkEnd w:id="3"/>
      <w:r>
        <w:t>31 The Avenue Coburg contains no fabric that contributes to The Grove/Sydney Road Precinct. As the statement of significance does not reference 31 The Avenue Coburg, no changes are required to the statement.</w:t>
      </w:r>
    </w:p>
    <w:p w:rsidR="00563160" w:rsidRDefault="00563160" w:rsidP="004C2436">
      <w:pPr>
        <w:pStyle w:val="Maintext"/>
        <w:numPr>
          <w:ilvl w:val="0"/>
          <w:numId w:val="1"/>
        </w:numPr>
        <w:ind w:left="567" w:hanging="567"/>
      </w:pPr>
      <w:r>
        <w:t>The following documents as requested by Panel have been included as Attachments:</w:t>
      </w:r>
    </w:p>
    <w:p w:rsidR="00563160" w:rsidRDefault="00563160" w:rsidP="00563160">
      <w:pPr>
        <w:pStyle w:val="Maintext"/>
        <w:numPr>
          <w:ilvl w:val="0"/>
          <w:numId w:val="18"/>
        </w:numPr>
        <w:rPr>
          <w:b/>
          <w:bCs/>
          <w:u w:val="single"/>
        </w:rPr>
      </w:pPr>
      <w:r>
        <w:rPr>
          <w:b/>
          <w:bCs/>
          <w:u w:val="single"/>
        </w:rPr>
        <w:t xml:space="preserve">Attachment </w:t>
      </w:r>
      <w:r w:rsidR="00DA37B3">
        <w:rPr>
          <w:b/>
          <w:bCs/>
          <w:u w:val="single"/>
        </w:rPr>
        <w:t>4</w:t>
      </w:r>
      <w:r w:rsidRPr="00DA37B3">
        <w:t xml:space="preserve"> –</w:t>
      </w:r>
      <w:r>
        <w:rPr>
          <w:b/>
          <w:bCs/>
          <w:u w:val="single"/>
        </w:rPr>
        <w:t xml:space="preserve"> </w:t>
      </w:r>
      <w:r w:rsidRPr="00563160">
        <w:t>Heritage Assessment 31 The Avenue Coburg by Diahnn Sullivan - June 2012</w:t>
      </w:r>
      <w:r>
        <w:rPr>
          <w:b/>
          <w:bCs/>
          <w:u w:val="single"/>
        </w:rPr>
        <w:t xml:space="preserve"> </w:t>
      </w:r>
    </w:p>
    <w:p w:rsidR="00563160" w:rsidRDefault="00563160" w:rsidP="00563160">
      <w:pPr>
        <w:pStyle w:val="Maintext"/>
        <w:numPr>
          <w:ilvl w:val="0"/>
          <w:numId w:val="18"/>
        </w:numPr>
      </w:pPr>
      <w:r w:rsidRPr="00563160">
        <w:rPr>
          <w:b/>
          <w:bCs/>
          <w:u w:val="single"/>
        </w:rPr>
        <w:t xml:space="preserve">Attachment </w:t>
      </w:r>
      <w:r w:rsidR="00DA37B3">
        <w:rPr>
          <w:b/>
          <w:bCs/>
          <w:u w:val="single"/>
        </w:rPr>
        <w:t>5</w:t>
      </w:r>
      <w:r>
        <w:t xml:space="preserve"> - Council’s brief to Extent Heritage for this additional analysis on relationship of 31 The Grove Coburg to HO172</w:t>
      </w:r>
    </w:p>
    <w:p w:rsidR="00563160" w:rsidRDefault="00563160" w:rsidP="00563160">
      <w:pPr>
        <w:pStyle w:val="Maintext"/>
        <w:numPr>
          <w:ilvl w:val="0"/>
          <w:numId w:val="18"/>
        </w:numPr>
      </w:pPr>
      <w:r w:rsidRPr="00563160">
        <w:rPr>
          <w:b/>
          <w:bCs/>
          <w:u w:val="single"/>
        </w:rPr>
        <w:t>Attachment</w:t>
      </w:r>
      <w:r>
        <w:rPr>
          <w:b/>
          <w:bCs/>
          <w:u w:val="single"/>
        </w:rPr>
        <w:t xml:space="preserve"> </w:t>
      </w:r>
      <w:r w:rsidR="00DA37B3">
        <w:rPr>
          <w:b/>
          <w:bCs/>
          <w:u w:val="single"/>
        </w:rPr>
        <w:t>6</w:t>
      </w:r>
      <w:r>
        <w:t xml:space="preserve"> </w:t>
      </w:r>
      <w:r w:rsidRPr="00563160">
        <w:t>-</w:t>
      </w:r>
      <w:r>
        <w:t xml:space="preserve"> </w:t>
      </w:r>
      <w:r w:rsidRPr="00563160">
        <w:t>HO172 The Grove Sydney Road Precinct Heritage Citation</w:t>
      </w:r>
    </w:p>
    <w:p w:rsidR="004C2436" w:rsidRPr="0093590D" w:rsidRDefault="004C2436" w:rsidP="004C2436">
      <w:pPr>
        <w:pStyle w:val="Maintext"/>
        <w:rPr>
          <w:b/>
          <w:bCs/>
        </w:rPr>
      </w:pPr>
      <w:r w:rsidRPr="0093590D">
        <w:rPr>
          <w:rFonts w:cs="Arial"/>
          <w:b/>
          <w:bCs/>
          <w:color w:val="000000"/>
          <w:lang w:eastAsia="en-AU"/>
        </w:rPr>
        <w:t>Extension to HO85 - Glenmorgan Street Precinct</w:t>
      </w:r>
    </w:p>
    <w:p w:rsidR="004C2436" w:rsidRDefault="004C2436" w:rsidP="004C2436">
      <w:pPr>
        <w:pStyle w:val="Maintext"/>
        <w:numPr>
          <w:ilvl w:val="0"/>
          <w:numId w:val="1"/>
        </w:numPr>
        <w:ind w:left="567" w:hanging="567"/>
      </w:pPr>
      <w:r>
        <w:t xml:space="preserve">The citation prepared by Extent Heritage for the extension to HO85 – Glenmorgan Street Precinct renames this precinct to incorporate the additional street names of properties proposed to be included in this precinct – Albion and Clarence Streets. The proposed Statement of Significance also combines these additional streets into the one citation. </w:t>
      </w:r>
    </w:p>
    <w:p w:rsidR="004C2436" w:rsidRPr="0093590D" w:rsidRDefault="004C2436" w:rsidP="004C2436">
      <w:pPr>
        <w:pStyle w:val="Maintext"/>
        <w:ind w:left="1134" w:right="990" w:firstLine="0"/>
        <w:rPr>
          <w:i/>
          <w:iCs/>
        </w:rPr>
      </w:pPr>
      <w:r w:rsidRPr="009E0661">
        <w:rPr>
          <w:i/>
          <w:iCs/>
        </w:rPr>
        <w:t>The following statement of significance is an amendment to the existing statement of significance for the Glenmorgan Street Precinct (HO85) (see Hermes ID 56060) to include 26-78 Albion Street and 11-45 &amp; 20-46 Clarence Street, Brunswick East. New or updated text is shown underlined.</w:t>
      </w:r>
    </w:p>
    <w:p w:rsidR="004C2436" w:rsidRDefault="004C2436" w:rsidP="00563160">
      <w:pPr>
        <w:pStyle w:val="Maintext"/>
        <w:numPr>
          <w:ilvl w:val="0"/>
          <w:numId w:val="1"/>
        </w:numPr>
        <w:ind w:left="567" w:hanging="567"/>
      </w:pPr>
      <w:r>
        <w:t xml:space="preserve">It is Council’s position that the Statement of Significance for HO85 is supported as per the exhibited version with the changes proposed by Dr James in his Expert Evidence Statement. A full copy of the citation for the proposed extended HO85 has been </w:t>
      </w:r>
      <w:r w:rsidR="00563160">
        <w:t xml:space="preserve">included at </w:t>
      </w:r>
      <w:r w:rsidR="00563160" w:rsidRPr="00563160">
        <w:rPr>
          <w:b/>
          <w:bCs/>
          <w:u w:val="single"/>
        </w:rPr>
        <w:t xml:space="preserve">Attachment </w:t>
      </w:r>
      <w:r w:rsidR="00DA37B3">
        <w:rPr>
          <w:b/>
          <w:bCs/>
          <w:u w:val="single"/>
        </w:rPr>
        <w:t>7</w:t>
      </w:r>
      <w:r>
        <w:t>.</w:t>
      </w:r>
    </w:p>
    <w:p w:rsidR="009618F7" w:rsidRDefault="009618F7" w:rsidP="001F26E4">
      <w:pPr>
        <w:pStyle w:val="Maintext"/>
        <w:rPr>
          <w:b/>
          <w:bCs/>
        </w:rPr>
      </w:pPr>
    </w:p>
    <w:p w:rsidR="001F26E4" w:rsidRPr="0030438F" w:rsidRDefault="001F26E4" w:rsidP="001F26E4">
      <w:pPr>
        <w:pStyle w:val="Maintext"/>
        <w:rPr>
          <w:b/>
          <w:bCs/>
        </w:rPr>
      </w:pPr>
      <w:r w:rsidRPr="0030438F">
        <w:rPr>
          <w:b/>
          <w:bCs/>
        </w:rPr>
        <w:t>Response to Submitter 3 – 26 Walsh Street Coburg</w:t>
      </w:r>
    </w:p>
    <w:p w:rsidR="001F26E4" w:rsidRPr="000B608B" w:rsidRDefault="001F26E4" w:rsidP="006416AF">
      <w:pPr>
        <w:pStyle w:val="ListParagraph"/>
        <w:numPr>
          <w:ilvl w:val="0"/>
          <w:numId w:val="15"/>
        </w:numPr>
        <w:spacing w:after="120" w:line="360" w:lineRule="auto"/>
        <w:ind w:left="448"/>
        <w:contextualSpacing w:val="0"/>
        <w:rPr>
          <w:sz w:val="21"/>
          <w:szCs w:val="21"/>
        </w:rPr>
      </w:pPr>
      <w:r w:rsidRPr="000B608B">
        <w:rPr>
          <w:sz w:val="21"/>
          <w:szCs w:val="21"/>
        </w:rPr>
        <w:t xml:space="preserve">Submitter 3 was concerned that Amendment C208more would result in the removal of the existing HO444 to 26 Walsh Street Coburg with the inclusion of the Walsh Street Precinct. </w:t>
      </w:r>
    </w:p>
    <w:p w:rsidR="001B60F0" w:rsidRDefault="001F26E4" w:rsidP="006416AF">
      <w:pPr>
        <w:pStyle w:val="ListParagraph"/>
        <w:numPr>
          <w:ilvl w:val="0"/>
          <w:numId w:val="15"/>
        </w:numPr>
        <w:spacing w:after="120" w:line="360" w:lineRule="auto"/>
        <w:ind w:left="448"/>
        <w:contextualSpacing w:val="0"/>
        <w:rPr>
          <w:sz w:val="21"/>
          <w:szCs w:val="21"/>
        </w:rPr>
      </w:pPr>
      <w:r w:rsidRPr="000B608B">
        <w:rPr>
          <w:sz w:val="21"/>
          <w:szCs w:val="21"/>
        </w:rPr>
        <w:t>26 Walsh Street Coburg is locally significant to Moreland in its own right</w:t>
      </w:r>
      <w:r w:rsidR="001B60F0">
        <w:rPr>
          <w:sz w:val="21"/>
          <w:szCs w:val="21"/>
        </w:rPr>
        <w:t xml:space="preserve"> and </w:t>
      </w:r>
      <w:r w:rsidRPr="000B608B">
        <w:rPr>
          <w:sz w:val="21"/>
          <w:szCs w:val="21"/>
        </w:rPr>
        <w:t>is currently protected by the Moreland heritage overlay (HO444). Heritage protection for this place was introduced into the Moreland Planning Scheme by Amendm</w:t>
      </w:r>
      <w:r w:rsidR="001B60F0">
        <w:rPr>
          <w:sz w:val="21"/>
          <w:szCs w:val="21"/>
        </w:rPr>
        <w:t>ent C174more on 5 January 2021.</w:t>
      </w:r>
    </w:p>
    <w:p w:rsidR="001F26E4" w:rsidRPr="001B60F0" w:rsidRDefault="001F26E4" w:rsidP="006416AF">
      <w:pPr>
        <w:pStyle w:val="ListParagraph"/>
        <w:numPr>
          <w:ilvl w:val="0"/>
          <w:numId w:val="15"/>
        </w:numPr>
        <w:spacing w:after="120" w:line="360" w:lineRule="auto"/>
        <w:ind w:left="448"/>
        <w:contextualSpacing w:val="0"/>
        <w:rPr>
          <w:sz w:val="21"/>
          <w:szCs w:val="21"/>
        </w:rPr>
      </w:pPr>
      <w:r w:rsidRPr="001B60F0">
        <w:rPr>
          <w:sz w:val="21"/>
          <w:szCs w:val="21"/>
        </w:rPr>
        <w:t xml:space="preserve">Due to the significance of 26 Walsh Street Coburg, it was communicated that it was appropriate for the property to retain its individually significant place listing rather than being included in the proposed HO599 - Walsh Street Precinct. As such, Amendment C208more proposes no changes to 26 Walsh Street’s heritage significance or its status in the Moreland Heritage Overlay. </w:t>
      </w:r>
    </w:p>
    <w:p w:rsidR="001F26E4" w:rsidRPr="00D55C11" w:rsidRDefault="001F26E4" w:rsidP="001F26E4">
      <w:pPr>
        <w:pStyle w:val="Maintext"/>
        <w:rPr>
          <w:b/>
          <w:bCs/>
        </w:rPr>
      </w:pPr>
      <w:r w:rsidRPr="00D55C11">
        <w:rPr>
          <w:b/>
          <w:bCs/>
        </w:rPr>
        <w:t>Paint Controls to 28 McMahons Road Coburg North</w:t>
      </w:r>
    </w:p>
    <w:p w:rsidR="001F26E4" w:rsidRDefault="001F26E4" w:rsidP="001F26E4">
      <w:pPr>
        <w:pStyle w:val="Maintext"/>
        <w:numPr>
          <w:ilvl w:val="0"/>
          <w:numId w:val="1"/>
        </w:numPr>
        <w:ind w:left="567" w:hanging="567"/>
      </w:pPr>
      <w:r>
        <w:t>In preparation of the Moreland Heritage Nominations Study, Extent Heritage included a draft Schedule to Clause 43.01 for the study places and precincts. This included including “Yes” in ‘External Paint Controls’ column of the proposed listing for 28 McMahons Road Coburg North. Below is an extract of this recommendation that was intended to be exhibited</w:t>
      </w:r>
      <w:r w:rsidR="00DA37B3">
        <w:t xml:space="preserve"> (full document included at </w:t>
      </w:r>
      <w:r w:rsidR="00DA37B3" w:rsidRPr="00DA37B3">
        <w:rPr>
          <w:b/>
          <w:bCs/>
          <w:u w:val="single"/>
        </w:rPr>
        <w:t xml:space="preserve">Attachment </w:t>
      </w:r>
      <w:r w:rsidR="00DA37B3">
        <w:rPr>
          <w:b/>
          <w:bCs/>
          <w:u w:val="single"/>
        </w:rPr>
        <w:t>8</w:t>
      </w:r>
      <w:r w:rsidR="00DA37B3">
        <w:t>).</w:t>
      </w:r>
    </w:p>
    <w:p w:rsidR="001F26E4" w:rsidRPr="00615782" w:rsidRDefault="001F26E4" w:rsidP="001F26E4">
      <w:pPr>
        <w:pStyle w:val="Maintext"/>
        <w:spacing w:after="0"/>
        <w:ind w:firstLine="0"/>
        <w:rPr>
          <w:u w:val="single"/>
        </w:rPr>
      </w:pPr>
      <w:r w:rsidRPr="00615782">
        <w:rPr>
          <w:u w:val="single"/>
        </w:rPr>
        <w:t>What was intended to be exhibited</w:t>
      </w:r>
    </w:p>
    <w:p w:rsidR="001F26E4" w:rsidRDefault="001F26E4" w:rsidP="001F26E4">
      <w:pPr>
        <w:pStyle w:val="Maintext"/>
        <w:ind w:firstLine="0"/>
        <w:jc w:val="center"/>
      </w:pPr>
      <w:r>
        <w:rPr>
          <w:noProof/>
        </w:rPr>
        <w:drawing>
          <wp:inline distT="0" distB="0" distL="0" distR="0" wp14:anchorId="069DAD2B" wp14:editId="6A091134">
            <wp:extent cx="6000750" cy="270320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583" b="2089"/>
                    <a:stretch/>
                  </pic:blipFill>
                  <pic:spPr bwMode="auto">
                    <a:xfrm>
                      <a:off x="0" y="0"/>
                      <a:ext cx="6114467" cy="2754436"/>
                    </a:xfrm>
                    <a:prstGeom prst="rect">
                      <a:avLst/>
                    </a:prstGeom>
                    <a:ln>
                      <a:noFill/>
                    </a:ln>
                    <a:extLst>
                      <a:ext uri="{53640926-AAD7-44D8-BBD7-CCE9431645EC}">
                        <a14:shadowObscured xmlns:a14="http://schemas.microsoft.com/office/drawing/2010/main"/>
                      </a:ext>
                    </a:extLst>
                  </pic:spPr>
                </pic:pic>
              </a:graphicData>
            </a:graphic>
          </wp:inline>
        </w:drawing>
      </w:r>
    </w:p>
    <w:p w:rsidR="001F26E4" w:rsidRDefault="001F26E4" w:rsidP="001F26E4">
      <w:pPr>
        <w:pStyle w:val="Maintext"/>
        <w:numPr>
          <w:ilvl w:val="0"/>
          <w:numId w:val="1"/>
        </w:numPr>
        <w:ind w:left="567" w:hanging="567"/>
      </w:pPr>
      <w:r>
        <w:t xml:space="preserve">Council used the DELWP’s Amendment Tracking System (ATS) to draft the formal Amendment documentation, including the Schedule to Clause 43.01. </w:t>
      </w:r>
      <w:r w:rsidR="00615048">
        <w:t xml:space="preserve"> The ATS operates by requiring updates to provisions when affected by other active amendments.  At the time of authorising this drafting, the MHGS was being processed and caused confusion in the drafting of this provision</w:t>
      </w:r>
      <w:r>
        <w:t xml:space="preserve">. Version control within the ATS to integrate gazetted and proposed </w:t>
      </w:r>
      <w:r w:rsidR="00615048">
        <w:t xml:space="preserve">provisions </w:t>
      </w:r>
      <w:r>
        <w:t xml:space="preserve">can be problematic and has resulted in a clerical error. </w:t>
      </w:r>
      <w:r w:rsidRPr="00615782">
        <w:rPr>
          <w:rFonts w:cs="Arial"/>
          <w:color w:val="000000"/>
          <w:lang w:eastAsia="en-AU"/>
        </w:rPr>
        <w:t>In particular, the clerical error that occurred in translating the recommendations of the Moreland Heritage Gap Study, with an omission of ‘Yes’ being applied to ‘External Paint Controls Apply?’ cell in the proposed Schedule to Clause 43.01 - Heritage Overlay to the proposed HO583 (28 McMahons Road Coburg North) listing.</w:t>
      </w:r>
    </w:p>
    <w:p w:rsidR="001F26E4" w:rsidRDefault="001F26E4" w:rsidP="001F26E4">
      <w:pPr>
        <w:pStyle w:val="Maintext"/>
        <w:numPr>
          <w:ilvl w:val="0"/>
          <w:numId w:val="1"/>
        </w:numPr>
        <w:ind w:left="567" w:hanging="567"/>
      </w:pPr>
      <w:r>
        <w:lastRenderedPageBreak/>
        <w:t xml:space="preserve">Below is a </w:t>
      </w:r>
      <w:r w:rsidR="00615048">
        <w:t>extract</w:t>
      </w:r>
      <w:r>
        <w:t xml:space="preserve"> of what was exhibited in the Schedule to Clause 43.01 in relation to 28 McMahons Road Coburg and what was intended to be exhibited:</w:t>
      </w:r>
    </w:p>
    <w:p w:rsidR="001F26E4" w:rsidRPr="00615782" w:rsidRDefault="001F26E4" w:rsidP="001F26E4">
      <w:pPr>
        <w:pStyle w:val="ListParagraph"/>
        <w:rPr>
          <w:u w:val="single"/>
        </w:rPr>
      </w:pPr>
      <w:r w:rsidRPr="00615782">
        <w:rPr>
          <w:u w:val="single"/>
        </w:rPr>
        <w:t>What was exhibited</w:t>
      </w:r>
    </w:p>
    <w:p w:rsidR="001F26E4" w:rsidRDefault="001F26E4" w:rsidP="001F26E4">
      <w:pPr>
        <w:pStyle w:val="ListParagraph"/>
        <w:jc w:val="center"/>
      </w:pPr>
      <w:r>
        <w:rPr>
          <w:noProof/>
        </w:rPr>
        <w:drawing>
          <wp:inline distT="0" distB="0" distL="0" distR="0" wp14:anchorId="78E5D5C6" wp14:editId="2446FDA0">
            <wp:extent cx="5819140" cy="40729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0830" cy="4074125"/>
                    </a:xfrm>
                    <a:prstGeom prst="rect">
                      <a:avLst/>
                    </a:prstGeom>
                  </pic:spPr>
                </pic:pic>
              </a:graphicData>
            </a:graphic>
          </wp:inline>
        </w:drawing>
      </w:r>
    </w:p>
    <w:p w:rsidR="00615048" w:rsidRDefault="001F26E4" w:rsidP="001F26E4">
      <w:pPr>
        <w:pStyle w:val="Maintext"/>
        <w:numPr>
          <w:ilvl w:val="0"/>
          <w:numId w:val="1"/>
        </w:numPr>
        <w:ind w:left="567" w:hanging="567"/>
      </w:pPr>
      <w:r>
        <w:t>Council’s current position is based on Dr James recommendation that 28 McMahons Road Coburg should not have ‘External Paint Controls’ apply</w:t>
      </w:r>
      <w:r w:rsidR="00615048">
        <w:t xml:space="preserve"> (a no in the cell)</w:t>
      </w:r>
      <w:r>
        <w:t>.</w:t>
      </w:r>
      <w:r w:rsidRPr="00615782">
        <w:t xml:space="preserve"> </w:t>
      </w:r>
    </w:p>
    <w:p w:rsidR="001F26E4" w:rsidRDefault="001F26E4" w:rsidP="0056253A">
      <w:pPr>
        <w:pStyle w:val="Maintext"/>
        <w:numPr>
          <w:ilvl w:val="0"/>
          <w:numId w:val="1"/>
        </w:numPr>
        <w:ind w:left="567" w:hanging="567"/>
      </w:pPr>
      <w:r>
        <w:t>Clause 43.01 (Heritage Overlay) outlines that a planning permit is required to ‘Externally paint an unpainted surface’.</w:t>
      </w:r>
      <w:r w:rsidR="00615048">
        <w:t xml:space="preserve">  </w:t>
      </w:r>
      <w:r>
        <w:t xml:space="preserve">These permit requirements </w:t>
      </w:r>
      <w:r w:rsidR="00615048">
        <w:t xml:space="preserve">are </w:t>
      </w:r>
      <w:r>
        <w:t>adequate to ensure that any painting to the facebrick of 28 McMahons Road Coburg is considered through a planning permit process to ensure the heritage values of the place is maintained.</w:t>
      </w:r>
      <w:r w:rsidR="009F1957">
        <w:t xml:space="preserve">  Therefore additional conditions relating to external paint controls are not considered necessary.</w:t>
      </w:r>
    </w:p>
    <w:p w:rsidR="001E5C26" w:rsidRPr="00DF14F5" w:rsidRDefault="004C2436" w:rsidP="001E5C26">
      <w:pPr>
        <w:pStyle w:val="Maintext"/>
        <w:ind w:left="0" w:firstLine="0"/>
        <w:rPr>
          <w:b/>
          <w:bCs/>
        </w:rPr>
      </w:pPr>
      <w:r>
        <w:rPr>
          <w:b/>
          <w:bCs/>
        </w:rPr>
        <w:t xml:space="preserve">Approach for </w:t>
      </w:r>
      <w:r w:rsidR="001E5C26" w:rsidRPr="00DF14F5">
        <w:rPr>
          <w:b/>
          <w:bCs/>
        </w:rPr>
        <w:t>CERES Park and Joe’s Market Garden</w:t>
      </w:r>
    </w:p>
    <w:p w:rsidR="001E5C26" w:rsidRDefault="001E5C26" w:rsidP="001E5C26">
      <w:pPr>
        <w:pStyle w:val="Maintext"/>
        <w:numPr>
          <w:ilvl w:val="0"/>
          <w:numId w:val="1"/>
        </w:numPr>
        <w:ind w:left="567" w:hanging="567"/>
      </w:pPr>
      <w:r>
        <w:t xml:space="preserve">The heritage value of CERES Park and Joe’s Market Garden have not been disputed and Council Officers agree with Mr Duncan that a Conservation Management Plan (CMP) is beneficial for these sites. </w:t>
      </w:r>
    </w:p>
    <w:p w:rsidR="001E5C26" w:rsidRDefault="001E5C26" w:rsidP="001E5C26">
      <w:pPr>
        <w:pStyle w:val="Maintext"/>
        <w:numPr>
          <w:ilvl w:val="0"/>
          <w:numId w:val="1"/>
        </w:numPr>
        <w:ind w:left="567" w:hanging="567"/>
      </w:pPr>
      <w:r>
        <w:t xml:space="preserve">The </w:t>
      </w:r>
      <w:r w:rsidRPr="000B608B">
        <w:t xml:space="preserve">Moreland Heritage Action Plan 2017 </w:t>
      </w:r>
      <w:r>
        <w:t>sets out the work plan for heritage related work across Council under four key themes Knowing, Protecting, Supporting and Communicating. The current plan is close to completion and new actions are currently being prepared to create a new heritage work plan for the next cycle.  It is anticipated that this updated plan will be presented to Council mid year to endorse. As outlined in Council’s Part B (1) submission, new actions to prepare CMP</w:t>
      </w:r>
      <w:r w:rsidR="009F1957">
        <w:t>s</w:t>
      </w:r>
      <w:r>
        <w:t xml:space="preserve"> for both CERES Park and Joe’s Market Garden will be included in this updated workplan presented to Council.</w:t>
      </w:r>
    </w:p>
    <w:p w:rsidR="001E5C26" w:rsidRDefault="001E5C26" w:rsidP="001E5C26">
      <w:pPr>
        <w:pStyle w:val="Maintext"/>
        <w:numPr>
          <w:ilvl w:val="0"/>
          <w:numId w:val="1"/>
        </w:numPr>
        <w:ind w:left="567" w:hanging="567"/>
      </w:pPr>
      <w:r>
        <w:lastRenderedPageBreak/>
        <w:t>It is Council’s view that a two-step approach to recognising and managing the heritage of CERES Park and Joe’s Market Garden is an appropriate approach, being:</w:t>
      </w:r>
    </w:p>
    <w:p w:rsidR="001E5C26" w:rsidRDefault="001E5C26" w:rsidP="006416AF">
      <w:pPr>
        <w:pStyle w:val="Maintext"/>
        <w:numPr>
          <w:ilvl w:val="0"/>
          <w:numId w:val="16"/>
        </w:numPr>
      </w:pPr>
      <w:r>
        <w:t>First Step - Applying the Heritage Overlay to these two sites to recognise the local significance of both CERES Park and Joe’s Market Garden</w:t>
      </w:r>
    </w:p>
    <w:p w:rsidR="001E5C26" w:rsidRDefault="001E5C26" w:rsidP="006416AF">
      <w:pPr>
        <w:pStyle w:val="Maintext"/>
        <w:numPr>
          <w:ilvl w:val="0"/>
          <w:numId w:val="16"/>
        </w:numPr>
      </w:pPr>
      <w:r>
        <w:t>Second Step – Preparation of a CMP for each to help with the ongoing management of the heritage values of the site.</w:t>
      </w:r>
      <w:r w:rsidR="009F1957">
        <w:t xml:space="preserve">  </w:t>
      </w:r>
    </w:p>
    <w:p w:rsidR="009618F7" w:rsidRDefault="001E5C26" w:rsidP="006F2ECF">
      <w:pPr>
        <w:pStyle w:val="Maintext"/>
        <w:numPr>
          <w:ilvl w:val="0"/>
          <w:numId w:val="1"/>
        </w:numPr>
        <w:ind w:left="567" w:hanging="567"/>
      </w:pPr>
      <w:r>
        <w:t xml:space="preserve">Council does not see any implications with this approach. In fact, the application of the Heritage Overlay will provide greater strength for the preparation of a CMP for each place. </w:t>
      </w:r>
    </w:p>
    <w:p w:rsidR="004C2436" w:rsidRPr="007B1693" w:rsidRDefault="004C2436" w:rsidP="004C2436">
      <w:pPr>
        <w:pStyle w:val="Maintext"/>
        <w:ind w:left="0" w:firstLine="0"/>
      </w:pPr>
    </w:p>
    <w:bookmarkStart w:id="4" w:name="_Toc96070178"/>
    <w:p w:rsidR="00A75885" w:rsidRPr="005027F4" w:rsidRDefault="004C2436" w:rsidP="006416AF">
      <w:pPr>
        <w:pStyle w:val="Heading1"/>
        <w:numPr>
          <w:ilvl w:val="0"/>
          <w:numId w:val="12"/>
        </w:numPr>
        <w:tabs>
          <w:tab w:val="left" w:pos="426"/>
        </w:tabs>
        <w:spacing w:before="360"/>
        <w:ind w:left="426" w:hanging="426"/>
        <w:rPr>
          <w:rFonts w:ascii="Arial" w:hAnsi="Arial" w:cs="Arial"/>
          <w:b/>
          <w:color w:val="auto"/>
        </w:rPr>
      </w:pPr>
      <w:r w:rsidRPr="00476E05">
        <w:rPr>
          <w:rFonts w:cs="Arial"/>
          <w:b/>
          <w:noProof/>
        </w:rPr>
        <mc:AlternateContent>
          <mc:Choice Requires="wps">
            <w:drawing>
              <wp:anchor distT="0" distB="0" distL="114300" distR="114300" simplePos="0" relativeHeight="251677696" behindDoc="0" locked="0" layoutInCell="1" allowOverlap="1" wp14:anchorId="3B0DC807" wp14:editId="1ABF8924">
                <wp:simplePos x="0" y="0"/>
                <wp:positionH relativeFrom="margin">
                  <wp:align>left</wp:align>
                </wp:positionH>
                <wp:positionV relativeFrom="paragraph">
                  <wp:posOffset>37327</wp:posOffset>
                </wp:positionV>
                <wp:extent cx="6400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56A279" id="Straight Connector 6" o:spid="_x0000_s1026" style="position:absolute;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95pt" to="7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Tk2AEAAA0EAAAOAAAAZHJzL2Uyb0RvYy54bWysU02P0zAQvSPxHyzfadLVUi1R0z10tVwQ&#10;VCz8AK8zbiz5S2PTpP+esZOmK0BIoL048cy853nP4+39aA07AUbtXcvXq5ozcNJ32h1b/v3b47s7&#10;zmISrhPGO2j5GSK/3719sx1CAze+96YDZETiYjOElvcphaaqouzBirjyARwllUcrEm3xWHUoBmK3&#10;prqp6001eOwCegkxUvRhSvJd4VcKZPqiVITETMupt1RWLOtzXqvdVjRHFKHXcm5D/EcXVmhHhy5U&#10;DyIJ9gP1b1RWS/TRq7SS3lZeKS2haCA16/oXNU+9CFC0kDkxLDbF16OVn08HZLpr+YYzJyxd0VNC&#10;oY99YnvvHBnokW2yT0OIDZXv3QHnXQwHzKJHhTZ/SQ4bi7fnxVsYE5MU3NzW9V1NVyAvueoKDBjT&#10;R/CW5Z+WG+2ybNGI06eY6DAqvZTksHFsoGH7UL+vS1n0RneP2picLKMDe4PsJOjS07jOzRPDiyra&#10;GUfBLGkSUf7S2cDE/xUUmUJtr6cD8jheOYWU4NKF1ziqzjBFHSzAubO/Aef6DIUyqv8CXhDlZO/S&#10;ArbaefxT21cr1FR/cWDSnS149t25XG+xhmauODe/jzzUL/cFfn3Fu58AAAD//wMAUEsDBBQABgAI&#10;AAAAIQCbpiPL3AAAAAUBAAAPAAAAZHJzL2Rvd25yZXYueG1sTI9BT8JAEIXvJP6HzZh4IbCLiQi1&#10;U6KNJt5EIHpdukNb7c423QWqv97FCxzfe5P3vkkXvW3EgTpfO0aYjBUI4sKZmkuEzfplNAPhg2aj&#10;G8eE8EMeFtnVINWJcUd+p8MqlCKWsE80QhVCm0jpi4qs9mPXEsds5zqrQ5RdKU2nj7HcNvJWqam0&#10;uua4UOmW8oqK79XeIuze5h9Pn8N8+by2r/f5pPzyw/4X8ea6f3wAEagP52M44Ud0yCLT1u3ZeNEg&#10;xEcCwt0cxClUahaN7b8hs1Re0md/AAAA//8DAFBLAQItABQABgAIAAAAIQC2gziS/gAAAOEBAAAT&#10;AAAAAAAAAAAAAAAAAAAAAABbQ29udGVudF9UeXBlc10ueG1sUEsBAi0AFAAGAAgAAAAhADj9If/W&#10;AAAAlAEAAAsAAAAAAAAAAAAAAAAALwEAAF9yZWxzLy5yZWxzUEsBAi0AFAAGAAgAAAAhAMmKpOTY&#10;AQAADQQAAA4AAAAAAAAAAAAAAAAALgIAAGRycy9lMm9Eb2MueG1sUEsBAi0AFAAGAAgAAAAhAJum&#10;I8vcAAAABQEAAA8AAAAAAAAAAAAAAAAAMgQAAGRycy9kb3ducmV2LnhtbFBLBQYAAAAABAAEAPMA&#10;AAA7BQAAAAA=&#10;" strokecolor="black [3213]" strokeweight="1.5pt">
                <v:stroke joinstyle="miter"/>
                <w10:wrap anchorx="margin"/>
              </v:line>
            </w:pict>
          </mc:Fallback>
        </mc:AlternateContent>
      </w:r>
      <w:r w:rsidR="00A75885">
        <w:rPr>
          <w:rFonts w:ascii="Arial" w:hAnsi="Arial" w:cs="Arial"/>
          <w:b/>
          <w:color w:val="auto"/>
        </w:rPr>
        <w:t>Conclusion</w:t>
      </w:r>
      <w:bookmarkEnd w:id="4"/>
    </w:p>
    <w:p w:rsidR="00494AC2" w:rsidRPr="00494AC2" w:rsidRDefault="00494AC2" w:rsidP="00494AC2">
      <w:pPr>
        <w:spacing w:after="0" w:line="360" w:lineRule="auto"/>
        <w:ind w:right="140"/>
        <w:jc w:val="both"/>
        <w:rPr>
          <w:rFonts w:cs="Calibri"/>
          <w:sz w:val="14"/>
          <w:szCs w:val="14"/>
          <w:shd w:val="clear" w:color="auto" w:fill="FFFFFF"/>
        </w:rPr>
      </w:pPr>
    </w:p>
    <w:p w:rsidR="00600E05" w:rsidRPr="002D7C7E"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bookmarkStart w:id="5" w:name="_Toc341709100"/>
      <w:r w:rsidRPr="002D7C7E">
        <w:rPr>
          <w:rFonts w:cs="Arial"/>
          <w:color w:val="000000"/>
          <w:sz w:val="21"/>
          <w:szCs w:val="21"/>
          <w:lang w:eastAsia="en-AU"/>
        </w:rPr>
        <w:t xml:space="preserve">Amendment C208more seeks to implement the recommendations from the MHNS prepared for Council by expert heritage consultants Extent Heritage. </w:t>
      </w:r>
      <w:bookmarkEnd w:id="5"/>
    </w:p>
    <w:p w:rsidR="00600E05" w:rsidRPr="002D7C7E"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bookmarkStart w:id="6" w:name="_Toc341709101"/>
      <w:r w:rsidRPr="002D7C7E">
        <w:rPr>
          <w:rFonts w:cs="Arial"/>
          <w:color w:val="000000"/>
          <w:sz w:val="21"/>
          <w:szCs w:val="21"/>
          <w:lang w:eastAsia="en-AU"/>
        </w:rPr>
        <w:t>Implementation of the recommendation of this study is part of Council’s ongoing commitment to identify and protect the municipality’s heritage fabric for current and future generations.</w:t>
      </w:r>
      <w:bookmarkEnd w:id="6"/>
      <w:r w:rsidRPr="002D7C7E">
        <w:rPr>
          <w:rFonts w:cs="Arial"/>
          <w:color w:val="000000"/>
          <w:sz w:val="21"/>
          <w:szCs w:val="21"/>
          <w:lang w:eastAsia="en-AU"/>
        </w:rPr>
        <w:t xml:space="preserve"> </w:t>
      </w:r>
    </w:p>
    <w:p w:rsidR="00600E05" w:rsidRPr="002D7C7E"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bookmarkStart w:id="7" w:name="_Toc341709102"/>
      <w:r w:rsidRPr="002D7C7E">
        <w:rPr>
          <w:rFonts w:cs="Arial"/>
          <w:color w:val="000000"/>
          <w:sz w:val="21"/>
          <w:szCs w:val="21"/>
          <w:lang w:eastAsia="en-AU"/>
        </w:rPr>
        <w:t>It further fulfils Council’s statutory obligations as a responsible authority to implement the objectives of the Planning and Environment Act 1987, and to implement State and Local objectives, strategies in the Planning Policy Framework, Plan Melbourne and M</w:t>
      </w:r>
      <w:bookmarkEnd w:id="7"/>
      <w:r w:rsidRPr="002D7C7E">
        <w:rPr>
          <w:rFonts w:cs="Arial"/>
          <w:color w:val="000000"/>
          <w:sz w:val="21"/>
          <w:szCs w:val="21"/>
          <w:lang w:eastAsia="en-AU"/>
        </w:rPr>
        <w:t>unicipal Planning Strategy as well as relevant guidelines and practice notes.</w:t>
      </w:r>
    </w:p>
    <w:p w:rsidR="00600E05" w:rsidRPr="002D7C7E"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bookmarkStart w:id="8" w:name="_Toc341709104"/>
      <w:r w:rsidRPr="002D7C7E">
        <w:rPr>
          <w:rFonts w:cs="Arial"/>
          <w:color w:val="000000"/>
          <w:sz w:val="21"/>
          <w:szCs w:val="21"/>
          <w:lang w:eastAsia="en-AU"/>
        </w:rPr>
        <w:t xml:space="preserve">In Council’s view, the MHNS </w:t>
      </w:r>
      <w:r w:rsidR="004930CB">
        <w:rPr>
          <w:rFonts w:cs="Arial"/>
          <w:color w:val="000000"/>
          <w:sz w:val="21"/>
          <w:szCs w:val="21"/>
          <w:lang w:eastAsia="en-AU"/>
        </w:rPr>
        <w:t>p</w:t>
      </w:r>
      <w:r w:rsidRPr="002D7C7E">
        <w:rPr>
          <w:rFonts w:cs="Arial"/>
          <w:color w:val="000000"/>
          <w:sz w:val="21"/>
          <w:szCs w:val="21"/>
          <w:lang w:eastAsia="en-AU"/>
        </w:rPr>
        <w:t>rovide</w:t>
      </w:r>
      <w:r w:rsidR="004930CB">
        <w:rPr>
          <w:rFonts w:cs="Arial"/>
          <w:color w:val="000000"/>
          <w:sz w:val="21"/>
          <w:szCs w:val="21"/>
          <w:lang w:eastAsia="en-AU"/>
        </w:rPr>
        <w:t>s</w:t>
      </w:r>
      <w:r w:rsidRPr="002D7C7E">
        <w:rPr>
          <w:rFonts w:cs="Arial"/>
          <w:color w:val="000000"/>
          <w:sz w:val="21"/>
          <w:szCs w:val="21"/>
          <w:lang w:eastAsia="en-AU"/>
        </w:rPr>
        <w:t xml:space="preserve"> a comprehensive and robust analysis of the identified heritage significance of buildings and precincts within the municipality. In undertaking that exercise, a rigorous assessment of the identified heritage elements of each place has been very carefully documented</w:t>
      </w:r>
      <w:bookmarkEnd w:id="8"/>
      <w:r w:rsidRPr="002D7C7E">
        <w:rPr>
          <w:rFonts w:cs="Arial"/>
          <w:color w:val="000000"/>
          <w:sz w:val="21"/>
          <w:szCs w:val="21"/>
          <w:lang w:eastAsia="en-AU"/>
        </w:rPr>
        <w:t>.</w:t>
      </w:r>
    </w:p>
    <w:p w:rsidR="00600E05" w:rsidRPr="002D7C7E"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bookmarkStart w:id="9" w:name="_Toc341709105"/>
      <w:r w:rsidRPr="002D7C7E">
        <w:rPr>
          <w:rFonts w:cs="Arial"/>
          <w:color w:val="000000"/>
          <w:sz w:val="21"/>
          <w:szCs w:val="21"/>
          <w:lang w:eastAsia="en-AU"/>
        </w:rPr>
        <w:t xml:space="preserve">Council appreciates the submissions that contest the heritage significance of the places recommended to be included in the HO. These submissions have assisted Council and its heritage consultants in providing a further assessment of the various sites and more rigorously applying the criteria of heritage significance. </w:t>
      </w:r>
    </w:p>
    <w:p w:rsidR="00600E05" w:rsidRPr="008D0034"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r w:rsidRPr="002D7C7E">
        <w:rPr>
          <w:rFonts w:cs="Arial"/>
          <w:color w:val="000000"/>
          <w:sz w:val="21"/>
          <w:szCs w:val="21"/>
          <w:lang w:eastAsia="en-AU"/>
        </w:rPr>
        <w:t xml:space="preserve">In a number of cases it has resulted in the review of citations which further support and highlight the heritage value of the various buildings, the removal of some properties from the Amendment or a change in the heritage grading of others. </w:t>
      </w:r>
      <w:bookmarkEnd w:id="9"/>
    </w:p>
    <w:p w:rsidR="00600E05" w:rsidRPr="008D0034" w:rsidRDefault="00600E05" w:rsidP="006416AF">
      <w:pPr>
        <w:pStyle w:val="ListParagraph"/>
        <w:numPr>
          <w:ilvl w:val="0"/>
          <w:numId w:val="17"/>
        </w:numPr>
        <w:spacing w:after="120" w:line="360" w:lineRule="auto"/>
        <w:ind w:hanging="502"/>
        <w:contextualSpacing w:val="0"/>
        <w:rPr>
          <w:rFonts w:cs="Arial"/>
          <w:color w:val="000000"/>
          <w:sz w:val="21"/>
          <w:szCs w:val="21"/>
          <w:lang w:eastAsia="en-AU"/>
        </w:rPr>
      </w:pPr>
      <w:bookmarkStart w:id="10" w:name="_Toc341709107"/>
      <w:r w:rsidRPr="008D0034">
        <w:rPr>
          <w:rFonts w:cs="Arial"/>
          <w:color w:val="000000"/>
          <w:sz w:val="21"/>
          <w:szCs w:val="21"/>
          <w:lang w:eastAsia="en-AU"/>
        </w:rPr>
        <w:t xml:space="preserve">It is respectfully submitted that the Panel recommend </w:t>
      </w:r>
      <w:r w:rsidR="004930CB">
        <w:rPr>
          <w:rFonts w:cs="Arial"/>
          <w:color w:val="000000"/>
          <w:sz w:val="21"/>
          <w:szCs w:val="21"/>
          <w:lang w:eastAsia="en-AU"/>
        </w:rPr>
        <w:t>adoption</w:t>
      </w:r>
      <w:r w:rsidRPr="008D0034">
        <w:rPr>
          <w:rFonts w:cs="Arial"/>
          <w:color w:val="000000"/>
          <w:sz w:val="21"/>
          <w:szCs w:val="21"/>
          <w:lang w:eastAsia="en-AU"/>
        </w:rPr>
        <w:t xml:space="preserve"> of Amendment C208more with the changes supported by Council and proposed in </w:t>
      </w:r>
      <w:bookmarkEnd w:id="10"/>
      <w:r w:rsidRPr="008D0034">
        <w:rPr>
          <w:rFonts w:cs="Arial"/>
          <w:color w:val="000000"/>
          <w:sz w:val="21"/>
          <w:szCs w:val="21"/>
          <w:lang w:eastAsia="en-AU"/>
        </w:rPr>
        <w:t>this submission.</w:t>
      </w:r>
    </w:p>
    <w:p w:rsidR="00A75885" w:rsidRPr="00621F07" w:rsidRDefault="00A75885" w:rsidP="006416AF">
      <w:pPr>
        <w:pStyle w:val="ListParagraph"/>
        <w:numPr>
          <w:ilvl w:val="0"/>
          <w:numId w:val="17"/>
        </w:numPr>
        <w:spacing w:after="120" w:line="360" w:lineRule="auto"/>
        <w:ind w:left="567" w:right="140" w:hanging="567"/>
        <w:contextualSpacing w:val="0"/>
        <w:jc w:val="both"/>
        <w:rPr>
          <w:rFonts w:cs="Arial"/>
          <w:color w:val="000000"/>
          <w:sz w:val="21"/>
          <w:szCs w:val="21"/>
          <w:lang w:eastAsia="en-AU"/>
        </w:rPr>
      </w:pPr>
      <w:r w:rsidRPr="00621F07">
        <w:rPr>
          <w:rFonts w:cs="Arial"/>
          <w:color w:val="000000"/>
          <w:sz w:val="21"/>
          <w:szCs w:val="21"/>
          <w:lang w:eastAsia="en-AU"/>
        </w:rPr>
        <w:t>This concludes Council’s Part C</w:t>
      </w:r>
      <w:r w:rsidR="004930CB" w:rsidRPr="00621F07">
        <w:rPr>
          <w:rFonts w:cs="Arial"/>
          <w:color w:val="000000"/>
          <w:sz w:val="21"/>
          <w:szCs w:val="21"/>
          <w:lang w:eastAsia="en-AU"/>
        </w:rPr>
        <w:t xml:space="preserve"> (1)</w:t>
      </w:r>
      <w:r w:rsidRPr="00621F07">
        <w:rPr>
          <w:rFonts w:cs="Arial"/>
          <w:color w:val="000000"/>
          <w:sz w:val="21"/>
          <w:szCs w:val="21"/>
          <w:lang w:eastAsia="en-AU"/>
        </w:rPr>
        <w:t xml:space="preserve"> Submission.</w:t>
      </w:r>
    </w:p>
    <w:p w:rsidR="00494AC2" w:rsidRPr="00494AC2" w:rsidRDefault="00494AC2" w:rsidP="00494AC2">
      <w:pPr>
        <w:pStyle w:val="ListParagraph"/>
        <w:spacing w:after="120" w:line="360" w:lineRule="auto"/>
        <w:ind w:left="567" w:right="140"/>
        <w:contextualSpacing w:val="0"/>
        <w:jc w:val="both"/>
        <w:rPr>
          <w:rFonts w:eastAsia="Times New Roman" w:cs="Arial"/>
          <w:sz w:val="22"/>
          <w:szCs w:val="20"/>
        </w:rPr>
      </w:pPr>
    </w:p>
    <w:p w:rsidR="00A75885" w:rsidRPr="006F2ECF" w:rsidRDefault="00A75885" w:rsidP="006F2ECF">
      <w:pPr>
        <w:spacing w:after="120" w:line="360" w:lineRule="auto"/>
        <w:ind w:right="140"/>
        <w:jc w:val="center"/>
        <w:rPr>
          <w:rFonts w:cs="Calibri"/>
          <w:b/>
          <w:bCs/>
          <w:sz w:val="24"/>
          <w:szCs w:val="24"/>
          <w:shd w:val="clear" w:color="auto" w:fill="FFFFFF"/>
        </w:rPr>
      </w:pPr>
      <w:r w:rsidRPr="00A75885">
        <w:rPr>
          <w:rFonts w:cs="Calibri"/>
          <w:b/>
          <w:bCs/>
          <w:sz w:val="24"/>
          <w:szCs w:val="24"/>
          <w:shd w:val="clear" w:color="auto" w:fill="FFFFFF"/>
        </w:rPr>
        <w:t>END OF PART C</w:t>
      </w:r>
      <w:r w:rsidR="004930CB">
        <w:rPr>
          <w:rFonts w:cs="Calibri"/>
          <w:b/>
          <w:bCs/>
          <w:sz w:val="24"/>
          <w:szCs w:val="24"/>
          <w:shd w:val="clear" w:color="auto" w:fill="FFFFFF"/>
        </w:rPr>
        <w:t xml:space="preserve"> (1)</w:t>
      </w:r>
      <w:r w:rsidRPr="00A75885">
        <w:rPr>
          <w:rFonts w:cs="Calibri"/>
          <w:b/>
          <w:bCs/>
          <w:sz w:val="24"/>
          <w:szCs w:val="24"/>
          <w:shd w:val="clear" w:color="auto" w:fill="FFFFFF"/>
        </w:rPr>
        <w:t xml:space="preserve"> SUBMISSION</w:t>
      </w:r>
      <w:r w:rsidRPr="00476E05">
        <w:rPr>
          <w:rFonts w:cs="Arial"/>
          <w:b/>
          <w:noProof/>
        </w:rPr>
        <mc:AlternateContent>
          <mc:Choice Requires="wps">
            <w:drawing>
              <wp:anchor distT="0" distB="0" distL="114300" distR="114300" simplePos="0" relativeHeight="251675648" behindDoc="0" locked="0" layoutInCell="1" allowOverlap="1" wp14:anchorId="6C107CBC" wp14:editId="4F8E21CC">
                <wp:simplePos x="0" y="0"/>
                <wp:positionH relativeFrom="margin">
                  <wp:align>left</wp:align>
                </wp:positionH>
                <wp:positionV relativeFrom="paragraph">
                  <wp:posOffset>280913</wp:posOffset>
                </wp:positionV>
                <wp:extent cx="6400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EFD9E" id="Straight Connector 10" o:spid="_x0000_s1026"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1pt" to="7in,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N41wEAAA8EAAAOAAAAZHJzL2Uyb0RvYy54bWysU8GO0zAQvSPxD1buNOkKVkvUdA9dLRcE&#10;FQsf4HXGjSXbY41Nk/49Y6dNV4CQQFyc2DPvzbzn8eZ+clYcgaJB31XrVVMJ8Ap74w9d9e3r45u7&#10;SsQkfS8teuiqE8Tqfvv61WYMLdzggLYHEkziYzuGrhpSCm1dRzWAk3GFATwHNZKTibd0qHuSI7M7&#10;W980zW09IvWBUEGMfPowB6tt4dcaVPqsdYQkbFdxb6msVNbnvNbbjWwPJMNg1LkN+Q9dOGk8F12o&#10;HmSS4juZX6icUYQRdVopdDVqbRQUDaxm3fyk5mmQAYoWNieGxab4/2jVp+OehOn57tgeLx3f0VMi&#10;aQ5DEjv0nh1EEhxkp8YQWwbs/J7Ouxj2lGVPmlz+siAxFXdPi7swJaH48PZt09w1XEVdYvUVGCim&#10;D4BO5J+ussZn4bKVx48xcTFOvaTkY+vFyC2/b941JS2iNf2jsTYHy/DAzpI4Sr72NK1z88zwIot3&#10;1vNhljSLKH/pZGHm/wKabeG213OBPJBXTqkU+HThtZ6zM0xzBwvw3NmfgOf8DIUyrH8DXhClMvq0&#10;gJ3xSL9r+2qFnvMvDsy6swXP2J/K9RZreOqKc+cXksf65b7Ar+94+wMAAP//AwBQSwMEFAAGAAgA&#10;AAAhAAeLrBHdAAAABwEAAA8AAABkcnMvZG93bnJldi54bWxMj0FPwkAQhe8k/ofNmHghsAshgLVb&#10;oo0m3lQwel26Q1vtzjbdBaq/3iEe4Pjem7z3TbrqXSMO2IXak4bJWIFAKrytqdTwvnkaLUGEaMia&#10;xhNq+MEAq+xqkJrE+iO94WEdS8ElFBKjoYqxTaQMRYXOhLFvkTjb+c6ZyLIrpe3MkctdI6dKzaUz&#10;NfFCZVrMKyy+13unYfdy+/HwOcxfHzfueZFPyq8w7H+1vrnu7+9AROzj+RhO+IwOGTNt/Z5sEI0G&#10;fiRqmM2mIE6pUkt2tv+OzFJ5yZ/9AQAA//8DAFBLAQItABQABgAIAAAAIQC2gziS/gAAAOEBAAAT&#10;AAAAAAAAAAAAAAAAAAAAAABbQ29udGVudF9UeXBlc10ueG1sUEsBAi0AFAAGAAgAAAAhADj9If/W&#10;AAAAlAEAAAsAAAAAAAAAAAAAAAAALwEAAF9yZWxzLy5yZWxzUEsBAi0AFAAGAAgAAAAhABGMc3jX&#10;AQAADwQAAA4AAAAAAAAAAAAAAAAALgIAAGRycy9lMm9Eb2MueG1sUEsBAi0AFAAGAAgAAAAhAAeL&#10;rBHdAAAABwEAAA8AAAAAAAAAAAAAAAAAMQQAAGRycy9kb3ducmV2LnhtbFBLBQYAAAAABAAEAPMA&#10;AAA7BQAAAAA=&#10;" strokecolor="black [3213]" strokeweight="1.5pt">
                <v:stroke joinstyle="miter"/>
                <w10:wrap anchorx="margin"/>
              </v:line>
            </w:pict>
          </mc:Fallback>
        </mc:AlternateContent>
      </w:r>
    </w:p>
    <w:p w:rsidR="00A75885" w:rsidRPr="005027F4" w:rsidRDefault="00A75885" w:rsidP="006416AF">
      <w:pPr>
        <w:pStyle w:val="Heading1"/>
        <w:numPr>
          <w:ilvl w:val="0"/>
          <w:numId w:val="12"/>
        </w:numPr>
        <w:tabs>
          <w:tab w:val="left" w:pos="426"/>
        </w:tabs>
        <w:spacing w:before="360" w:after="240"/>
        <w:ind w:left="426" w:hanging="426"/>
        <w:rPr>
          <w:rFonts w:ascii="Arial" w:hAnsi="Arial" w:cs="Arial"/>
          <w:b/>
          <w:color w:val="auto"/>
        </w:rPr>
      </w:pPr>
      <w:bookmarkStart w:id="11" w:name="_Toc96070179"/>
      <w:r>
        <w:rPr>
          <w:rFonts w:ascii="Arial" w:hAnsi="Arial" w:cs="Arial"/>
          <w:b/>
          <w:color w:val="auto"/>
        </w:rPr>
        <w:lastRenderedPageBreak/>
        <w:t>Attachments</w:t>
      </w:r>
      <w:bookmarkEnd w:id="11"/>
    </w:p>
    <w:p w:rsidR="00A75885"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 xml:space="preserve">Attachment 1 - </w:t>
      </w:r>
      <w:r w:rsidR="008272C8" w:rsidRPr="007F0CAE">
        <w:rPr>
          <w:rFonts w:cs="Calibri"/>
          <w:sz w:val="21"/>
          <w:szCs w:val="21"/>
          <w:shd w:val="clear" w:color="auto" w:fill="FFFFFF"/>
        </w:rPr>
        <w:t xml:space="preserve">Brief for </w:t>
      </w:r>
      <w:r>
        <w:rPr>
          <w:rFonts w:cs="Calibri"/>
          <w:sz w:val="21"/>
          <w:szCs w:val="21"/>
          <w:shd w:val="clear" w:color="auto" w:fill="FFFFFF"/>
        </w:rPr>
        <w:t>Stage 2 of the</w:t>
      </w:r>
      <w:r w:rsidR="008272C8" w:rsidRPr="007F0CAE">
        <w:rPr>
          <w:rFonts w:cs="Calibri"/>
          <w:sz w:val="21"/>
          <w:szCs w:val="21"/>
          <w:shd w:val="clear" w:color="auto" w:fill="FFFFFF"/>
        </w:rPr>
        <w:t xml:space="preserve"> Moreland Heritage Nominations Study</w:t>
      </w:r>
    </w:p>
    <w:p w:rsidR="007F0CAE"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Attachment 2 – Heritage Victoria Model Consultants Brief for Heritage Consultants</w:t>
      </w:r>
    </w:p>
    <w:p w:rsidR="007F0CAE"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Attachment 3 – Moreland Heritage Gap Study Place Nomination Form</w:t>
      </w:r>
    </w:p>
    <w:p w:rsidR="007F0CAE"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Attachment 4</w:t>
      </w:r>
      <w:r w:rsidR="00621F07">
        <w:rPr>
          <w:rFonts w:cs="Calibri"/>
          <w:sz w:val="21"/>
          <w:szCs w:val="21"/>
          <w:shd w:val="clear" w:color="auto" w:fill="FFFFFF"/>
        </w:rPr>
        <w:t xml:space="preserve"> – Heritage Assessment of 31 The Avenue Coburg by Diahnn Sullivan</w:t>
      </w:r>
    </w:p>
    <w:p w:rsidR="007F0CAE"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Attachment 5</w:t>
      </w:r>
      <w:r w:rsidR="00621F07">
        <w:rPr>
          <w:rFonts w:cs="Calibri"/>
          <w:sz w:val="21"/>
          <w:szCs w:val="21"/>
          <w:shd w:val="clear" w:color="auto" w:fill="FFFFFF"/>
        </w:rPr>
        <w:t xml:space="preserve"> – Brief for further assessment of 31 The Avenue Coburg relationship with HO172</w:t>
      </w:r>
    </w:p>
    <w:p w:rsidR="007F0CAE"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Attachment 6</w:t>
      </w:r>
      <w:r w:rsidR="00621F07">
        <w:rPr>
          <w:rFonts w:cs="Calibri"/>
          <w:sz w:val="21"/>
          <w:szCs w:val="21"/>
          <w:shd w:val="clear" w:color="auto" w:fill="FFFFFF"/>
        </w:rPr>
        <w:t xml:space="preserve"> - HO172 The Grove Sydney Road Precinct Heritage Citation</w:t>
      </w:r>
    </w:p>
    <w:p w:rsidR="007F0CAE" w:rsidRPr="007F0CAE" w:rsidRDefault="007F0CAE"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Attachment 7</w:t>
      </w:r>
      <w:r w:rsidR="00621F07">
        <w:rPr>
          <w:rFonts w:cs="Calibri"/>
          <w:sz w:val="21"/>
          <w:szCs w:val="21"/>
          <w:shd w:val="clear" w:color="auto" w:fill="FFFFFF"/>
        </w:rPr>
        <w:t xml:space="preserve"> – HO85, Glenmorgan, Albion and Clarence Streets Precinct Citation</w:t>
      </w:r>
    </w:p>
    <w:p w:rsidR="00A75885" w:rsidRPr="00A75885" w:rsidRDefault="00621F07" w:rsidP="006F2ECF">
      <w:pPr>
        <w:spacing w:after="120" w:line="360" w:lineRule="auto"/>
        <w:ind w:left="1560" w:right="140" w:hanging="1560"/>
        <w:jc w:val="both"/>
        <w:rPr>
          <w:rFonts w:cs="Calibri"/>
          <w:sz w:val="21"/>
          <w:szCs w:val="21"/>
          <w:shd w:val="clear" w:color="auto" w:fill="FFFFFF"/>
        </w:rPr>
      </w:pPr>
      <w:r>
        <w:rPr>
          <w:rFonts w:cs="Calibri"/>
          <w:sz w:val="21"/>
          <w:szCs w:val="21"/>
          <w:shd w:val="clear" w:color="auto" w:fill="FFFFFF"/>
        </w:rPr>
        <w:t xml:space="preserve">Attachment 8 – </w:t>
      </w:r>
      <w:r w:rsidR="006F2ECF">
        <w:rPr>
          <w:rFonts w:cs="Calibri"/>
          <w:sz w:val="21"/>
          <w:szCs w:val="21"/>
          <w:shd w:val="clear" w:color="auto" w:fill="FFFFFF"/>
        </w:rPr>
        <w:t xml:space="preserve">Moreland </w:t>
      </w:r>
      <w:r>
        <w:rPr>
          <w:rFonts w:cs="Calibri"/>
          <w:sz w:val="21"/>
          <w:szCs w:val="21"/>
          <w:shd w:val="clear" w:color="auto" w:fill="FFFFFF"/>
        </w:rPr>
        <w:t>Heritage Nominations Study recommended Schedule to Clause 43.01 by Extent Heritage</w:t>
      </w:r>
    </w:p>
    <w:p w:rsidR="00DA37B3" w:rsidRPr="00A75885" w:rsidRDefault="00DA37B3">
      <w:pPr>
        <w:spacing w:after="120" w:line="360" w:lineRule="auto"/>
        <w:ind w:right="140"/>
        <w:jc w:val="both"/>
        <w:rPr>
          <w:rFonts w:cs="Calibri"/>
          <w:sz w:val="21"/>
          <w:szCs w:val="21"/>
          <w:shd w:val="clear" w:color="auto" w:fill="FFFFFF"/>
        </w:rPr>
      </w:pPr>
    </w:p>
    <w:sectPr w:rsidR="00DA37B3" w:rsidRPr="00A75885" w:rsidSect="00B20F10">
      <w:footerReference w:type="default" r:id="rId11"/>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33C" w:rsidRDefault="00D8133C" w:rsidP="004A4B60">
      <w:pPr>
        <w:spacing w:after="0" w:line="240" w:lineRule="auto"/>
      </w:pPr>
      <w:r>
        <w:separator/>
      </w:r>
    </w:p>
  </w:endnote>
  <w:endnote w:type="continuationSeparator" w:id="0">
    <w:p w:rsidR="00D8133C" w:rsidRDefault="00D8133C" w:rsidP="004A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unito Sans ExtraBold">
    <w:panose1 w:val="000009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4DC" w:rsidRPr="004A4B60" w:rsidRDefault="00B454DC" w:rsidP="00DC535A">
    <w:pPr>
      <w:pStyle w:val="Footer"/>
      <w:tabs>
        <w:tab w:val="clear" w:pos="9026"/>
        <w:tab w:val="right" w:pos="9498"/>
      </w:tabs>
      <w:spacing w:before="360"/>
      <w:rPr>
        <w:sz w:val="18"/>
      </w:rPr>
    </w:pPr>
    <w:bookmarkStart w:id="12" w:name="_Hlk4669929"/>
    <w:r>
      <w:rPr>
        <w:sz w:val="18"/>
      </w:rPr>
      <w:t xml:space="preserve">Moreland City Council – Part </w:t>
    </w:r>
    <w:r w:rsidR="00494AC2">
      <w:rPr>
        <w:sz w:val="18"/>
      </w:rPr>
      <w:t>C</w:t>
    </w:r>
    <w:r w:rsidR="004930CB">
      <w:rPr>
        <w:sz w:val="18"/>
      </w:rPr>
      <w:t xml:space="preserve"> (1)</w:t>
    </w:r>
    <w:r>
      <w:rPr>
        <w:sz w:val="18"/>
      </w:rPr>
      <w:t xml:space="preserve"> Submission to Panel for Amendment </w:t>
    </w:r>
    <w:bookmarkEnd w:id="12"/>
    <w:r>
      <w:rPr>
        <w:sz w:val="18"/>
      </w:rPr>
      <w:t>C208more</w:t>
    </w:r>
    <w:r>
      <w:rPr>
        <w:sz w:val="18"/>
      </w:rPr>
      <w:tab/>
    </w:r>
    <w:r w:rsidRPr="00490ADD">
      <w:rPr>
        <w:sz w:val="18"/>
      </w:rPr>
      <w:t xml:space="preserve">Page </w:t>
    </w:r>
    <w:r w:rsidRPr="00490ADD">
      <w:rPr>
        <w:b/>
        <w:bCs/>
        <w:sz w:val="18"/>
      </w:rPr>
      <w:fldChar w:fldCharType="begin"/>
    </w:r>
    <w:r w:rsidRPr="00490ADD">
      <w:rPr>
        <w:b/>
        <w:bCs/>
        <w:sz w:val="18"/>
      </w:rPr>
      <w:instrText xml:space="preserve"> PAGE  \* Arabic  \* MERGEFORMAT </w:instrText>
    </w:r>
    <w:r w:rsidRPr="00490ADD">
      <w:rPr>
        <w:b/>
        <w:bCs/>
        <w:sz w:val="18"/>
      </w:rPr>
      <w:fldChar w:fldCharType="separate"/>
    </w:r>
    <w:r w:rsidRPr="00490ADD">
      <w:rPr>
        <w:b/>
        <w:bCs/>
        <w:noProof/>
        <w:sz w:val="18"/>
      </w:rPr>
      <w:t>1</w:t>
    </w:r>
    <w:r w:rsidRPr="00490ADD">
      <w:rPr>
        <w:b/>
        <w:bCs/>
        <w:sz w:val="18"/>
      </w:rPr>
      <w:fldChar w:fldCharType="end"/>
    </w:r>
    <w:r w:rsidRPr="00490ADD">
      <w:rPr>
        <w:sz w:val="18"/>
      </w:rPr>
      <w:t xml:space="preserve"> of </w:t>
    </w:r>
    <w:r w:rsidRPr="00490ADD">
      <w:rPr>
        <w:b/>
        <w:bCs/>
        <w:sz w:val="18"/>
      </w:rPr>
      <w:fldChar w:fldCharType="begin"/>
    </w:r>
    <w:r w:rsidRPr="00490ADD">
      <w:rPr>
        <w:b/>
        <w:bCs/>
        <w:sz w:val="18"/>
      </w:rPr>
      <w:instrText xml:space="preserve"> NUMPAGES  \* Arabic  \* MERGEFORMAT </w:instrText>
    </w:r>
    <w:r w:rsidRPr="00490ADD">
      <w:rPr>
        <w:b/>
        <w:bCs/>
        <w:sz w:val="18"/>
      </w:rPr>
      <w:fldChar w:fldCharType="separate"/>
    </w:r>
    <w:r w:rsidRPr="00490ADD">
      <w:rPr>
        <w:b/>
        <w:bCs/>
        <w:noProof/>
        <w:sz w:val="18"/>
      </w:rPr>
      <w:t>2</w:t>
    </w:r>
    <w:r w:rsidRPr="00490AD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33C" w:rsidRDefault="00D8133C" w:rsidP="004A4B60">
      <w:pPr>
        <w:spacing w:after="0" w:line="240" w:lineRule="auto"/>
      </w:pPr>
      <w:r>
        <w:separator/>
      </w:r>
    </w:p>
  </w:footnote>
  <w:footnote w:type="continuationSeparator" w:id="0">
    <w:p w:rsidR="00D8133C" w:rsidRDefault="00D8133C" w:rsidP="004A4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2245648"/>
    <w:multiLevelType w:val="multilevel"/>
    <w:tmpl w:val="414422F2"/>
    <w:lvl w:ilvl="0">
      <w:start w:val="1"/>
      <w:numFmt w:val="decimal"/>
      <w:pStyle w:val="Numpara1"/>
      <w:lvlText w:val="%1."/>
      <w:lvlJc w:val="left"/>
      <w:pPr>
        <w:ind w:left="851" w:hanging="851"/>
      </w:pPr>
      <w:rPr>
        <w:b/>
        <w:sz w:val="22"/>
        <w:szCs w:val="22"/>
      </w:rPr>
    </w:lvl>
    <w:lvl w:ilvl="1">
      <w:start w:val="1"/>
      <w:numFmt w:val="decimal"/>
      <w:pStyle w:val="Numpara2"/>
      <w:lvlText w:val="%2."/>
      <w:lvlJc w:val="left"/>
      <w:pPr>
        <w:ind w:left="851" w:hanging="851"/>
      </w:pPr>
      <w:rPr>
        <w:rFonts w:ascii="Arial" w:hAnsi="Arial" w:cs="Arial" w:hint="default"/>
        <w:b w:val="0"/>
        <w:i w:val="0"/>
        <w:sz w:val="22"/>
        <w:szCs w:val="22"/>
      </w:rPr>
    </w:lvl>
    <w:lvl w:ilvl="2">
      <w:start w:val="1"/>
      <w:numFmt w:val="decimal"/>
      <w:pStyle w:val="Numpara3"/>
      <w:lvlText w:val="%1.%2.%3"/>
      <w:lvlJc w:val="left"/>
      <w:pPr>
        <w:ind w:left="1701" w:hanging="850"/>
      </w:pPr>
      <w:rPr>
        <w:sz w:val="22"/>
        <w:szCs w:val="22"/>
      </w:rPr>
    </w:lvl>
    <w:lvl w:ilvl="3">
      <w:start w:val="1"/>
      <w:numFmt w:val="lowerLetter"/>
      <w:pStyle w:val="Numpara4"/>
      <w:lvlText w:val="(%4)"/>
      <w:lvlJc w:val="left"/>
      <w:pPr>
        <w:ind w:left="2268" w:hanging="567"/>
      </w:pPr>
      <w:rPr>
        <w:sz w:val="20"/>
        <w:szCs w:val="20"/>
      </w:rPr>
    </w:lvl>
    <w:lvl w:ilvl="4">
      <w:start w:val="1"/>
      <w:numFmt w:val="lowerRoman"/>
      <w:lvlText w:val="(%5)"/>
      <w:lvlJc w:val="left"/>
      <w:pPr>
        <w:tabs>
          <w:tab w:val="num" w:pos="2835"/>
        </w:tabs>
        <w:ind w:left="2835" w:hanging="567"/>
      </w:pPr>
      <w:rPr>
        <w:sz w:val="20"/>
        <w:szCs w:val="20"/>
      </w:rPr>
    </w:lvl>
    <w:lvl w:ilvl="5">
      <w:start w:val="1"/>
      <w:numFmt w:val="none"/>
      <w:lvlText w:val=""/>
      <w:lvlJc w:val="left"/>
      <w:pPr>
        <w:tabs>
          <w:tab w:val="num" w:pos="3402"/>
        </w:tabs>
        <w:ind w:left="3402" w:hanging="567"/>
      </w:pPr>
    </w:lvl>
    <w:lvl w:ilvl="6">
      <w:start w:val="1"/>
      <w:numFmt w:val="none"/>
      <w:lvlText w:val=""/>
      <w:lvlJc w:val="left"/>
      <w:pPr>
        <w:ind w:left="-32767" w:firstLine="0"/>
      </w:pPr>
    </w:lvl>
    <w:lvl w:ilvl="7">
      <w:start w:val="1"/>
      <w:numFmt w:val="none"/>
      <w:lvlText w:val=""/>
      <w:lvlJc w:val="left"/>
      <w:pPr>
        <w:ind w:left="3744" w:firstLine="29025"/>
      </w:pPr>
    </w:lvl>
    <w:lvl w:ilvl="8">
      <w:start w:val="1"/>
      <w:numFmt w:val="none"/>
      <w:lvlText w:val=""/>
      <w:lvlJc w:val="left"/>
      <w:pPr>
        <w:ind w:left="-32767" w:firstLine="32767"/>
      </w:pPr>
    </w:lvl>
  </w:abstractNum>
  <w:abstractNum w:abstractNumId="2" w15:restartNumberingAfterBreak="0">
    <w:nsid w:val="055C3AF7"/>
    <w:multiLevelType w:val="hybridMultilevel"/>
    <w:tmpl w:val="258241C4"/>
    <w:lvl w:ilvl="0" w:tplc="BAF01390">
      <w:start w:val="1"/>
      <w:numFmt w:val="decimal"/>
      <w:lvlText w:val="%1."/>
      <w:lvlJc w:val="left"/>
      <w:pPr>
        <w:ind w:left="720" w:hanging="360"/>
      </w:pPr>
      <w:rPr>
        <w:rFonts w:hint="default"/>
        <w:sz w:val="21"/>
        <w:szCs w:val="21"/>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025B2"/>
    <w:multiLevelType w:val="hybridMultilevel"/>
    <w:tmpl w:val="909085FC"/>
    <w:lvl w:ilvl="0" w:tplc="89BC67C6">
      <w:start w:val="1"/>
      <w:numFmt w:val="bullet"/>
      <w:pStyle w:val="Bullet1"/>
      <w:lvlText w:val=""/>
      <w:lvlJc w:val="left"/>
      <w:pPr>
        <w:ind w:left="720" w:hanging="360"/>
      </w:pPr>
      <w:rPr>
        <w:rFonts w:ascii="Symbol" w:hAnsi="Symbol" w:hint="default"/>
        <w:color w:val="A6A6A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D63D8A"/>
    <w:multiLevelType w:val="multilevel"/>
    <w:tmpl w:val="F6AA7762"/>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i/>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21A7C2A"/>
    <w:multiLevelType w:val="multilevel"/>
    <w:tmpl w:val="89B429A6"/>
    <w:lvl w:ilvl="0">
      <w:start w:val="14"/>
      <w:numFmt w:val="decimal"/>
      <w:lvlText w:val="%1"/>
      <w:lvlJc w:val="left"/>
      <w:pPr>
        <w:ind w:left="502" w:hanging="360"/>
      </w:pPr>
      <w:rPr>
        <w:rFonts w:hint="default"/>
        <w:i w:val="0"/>
        <w:iCs/>
        <w:sz w:val="21"/>
        <w:szCs w:val="21"/>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B707CE0"/>
    <w:multiLevelType w:val="hybridMultilevel"/>
    <w:tmpl w:val="A98832C0"/>
    <w:lvl w:ilvl="0" w:tplc="3B7C5A0A">
      <w:start w:val="65"/>
      <w:numFmt w:val="decimal"/>
      <w:lvlText w:val="%1"/>
      <w:lvlJc w:val="left"/>
      <w:pPr>
        <w:ind w:left="862" w:hanging="360"/>
      </w:pPr>
      <w:rPr>
        <w:rFonts w:hint="default"/>
        <w:i w:val="0"/>
        <w:iCs/>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90FA9"/>
    <w:multiLevelType w:val="hybridMultilevel"/>
    <w:tmpl w:val="EAC65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E048DD"/>
    <w:multiLevelType w:val="hybridMultilevel"/>
    <w:tmpl w:val="39305B0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47D85EC4"/>
    <w:multiLevelType w:val="hybridMultilevel"/>
    <w:tmpl w:val="8092CD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DE05AB2"/>
    <w:multiLevelType w:val="multilevel"/>
    <w:tmpl w:val="AC4667DA"/>
    <w:lvl w:ilvl="0">
      <w:start w:val="14"/>
      <w:numFmt w:val="decimal"/>
      <w:lvlText w:val="%1"/>
      <w:lvlJc w:val="left"/>
      <w:pPr>
        <w:ind w:left="502" w:hanging="360"/>
      </w:pPr>
      <w:rPr>
        <w:rFonts w:hint="default"/>
        <w:b w:val="0"/>
        <w:bCs/>
        <w:i w:val="0"/>
        <w:iCs/>
        <w:sz w:val="21"/>
        <w:szCs w:val="21"/>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E90292E"/>
    <w:multiLevelType w:val="hybridMultilevel"/>
    <w:tmpl w:val="EBEC5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5C4D15"/>
    <w:multiLevelType w:val="hybridMultilevel"/>
    <w:tmpl w:val="C9D0EE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3A34B0B"/>
    <w:multiLevelType w:val="hybridMultilevel"/>
    <w:tmpl w:val="526A360E"/>
    <w:lvl w:ilvl="0" w:tplc="640EE4DC">
      <w:start w:val="3"/>
      <w:numFmt w:val="bullet"/>
      <w:lvlText w:val="-"/>
      <w:lvlJc w:val="left"/>
      <w:pPr>
        <w:ind w:left="1647" w:hanging="360"/>
      </w:pPr>
      <w:rPr>
        <w:rFonts w:ascii="Arial" w:eastAsia="Calibri" w:hAnsi="Arial" w:cs="Aria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5" w15:restartNumberingAfterBreak="0">
    <w:nsid w:val="602B2BFA"/>
    <w:multiLevelType w:val="multilevel"/>
    <w:tmpl w:val="B25C2B7E"/>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3DA6A5D"/>
    <w:multiLevelType w:val="multilevel"/>
    <w:tmpl w:val="0106B87A"/>
    <w:lvl w:ilvl="0">
      <w:start w:val="1"/>
      <w:numFmt w:val="bullet"/>
      <w:pStyle w:val="Bullet3"/>
      <w:lvlText w:val=""/>
      <w:lvlJc w:val="left"/>
      <w:pPr>
        <w:ind w:left="567" w:hanging="567"/>
      </w:pPr>
      <w:rPr>
        <w:rFonts w:ascii="Wingdings" w:hAnsi="Wingdings" w:hint="default"/>
        <w:sz w:val="20"/>
        <w:szCs w:val="20"/>
      </w:rPr>
    </w:lvl>
    <w:lvl w:ilvl="1">
      <w:start w:val="1"/>
      <w:numFmt w:val="bullet"/>
      <w:lvlText w:val="o"/>
      <w:lvlJc w:val="left"/>
      <w:pPr>
        <w:ind w:left="-261" w:hanging="360"/>
      </w:pPr>
      <w:rPr>
        <w:rFonts w:ascii="Courier New" w:hAnsi="Courier New" w:cs="Courier New" w:hint="default"/>
      </w:rPr>
    </w:lvl>
    <w:lvl w:ilvl="2">
      <w:start w:val="1"/>
      <w:numFmt w:val="bullet"/>
      <w:lvlText w:val=""/>
      <w:lvlJc w:val="left"/>
      <w:pPr>
        <w:ind w:left="459" w:hanging="360"/>
      </w:pPr>
      <w:rPr>
        <w:rFonts w:ascii="Wingdings" w:hAnsi="Wingdings" w:hint="default"/>
      </w:rPr>
    </w:lvl>
    <w:lvl w:ilvl="3">
      <w:start w:val="1"/>
      <w:numFmt w:val="bullet"/>
      <w:lvlText w:val=""/>
      <w:lvlJc w:val="left"/>
      <w:pPr>
        <w:ind w:left="1179" w:hanging="360"/>
      </w:pPr>
      <w:rPr>
        <w:rFonts w:ascii="Symbol" w:hAnsi="Symbol" w:hint="default"/>
      </w:rPr>
    </w:lvl>
    <w:lvl w:ilvl="4">
      <w:start w:val="1"/>
      <w:numFmt w:val="bullet"/>
      <w:lvlText w:val="o"/>
      <w:lvlJc w:val="left"/>
      <w:pPr>
        <w:ind w:left="1899" w:hanging="360"/>
      </w:pPr>
      <w:rPr>
        <w:rFonts w:ascii="Courier New" w:hAnsi="Courier New" w:cs="Courier New" w:hint="default"/>
      </w:rPr>
    </w:lvl>
    <w:lvl w:ilvl="5">
      <w:start w:val="1"/>
      <w:numFmt w:val="bullet"/>
      <w:lvlText w:val=""/>
      <w:lvlJc w:val="left"/>
      <w:pPr>
        <w:ind w:left="2619" w:hanging="360"/>
      </w:pPr>
      <w:rPr>
        <w:rFonts w:ascii="Wingdings" w:hAnsi="Wingdings" w:hint="default"/>
      </w:rPr>
    </w:lvl>
    <w:lvl w:ilvl="6">
      <w:start w:val="1"/>
      <w:numFmt w:val="bullet"/>
      <w:lvlText w:val=""/>
      <w:lvlJc w:val="left"/>
      <w:pPr>
        <w:ind w:left="3339" w:hanging="360"/>
      </w:pPr>
      <w:rPr>
        <w:rFonts w:ascii="Symbol" w:hAnsi="Symbol" w:hint="default"/>
      </w:rPr>
    </w:lvl>
    <w:lvl w:ilvl="7">
      <w:start w:val="1"/>
      <w:numFmt w:val="bullet"/>
      <w:lvlText w:val="o"/>
      <w:lvlJc w:val="left"/>
      <w:pPr>
        <w:ind w:left="4059" w:hanging="360"/>
      </w:pPr>
      <w:rPr>
        <w:rFonts w:ascii="Courier New" w:hAnsi="Courier New" w:cs="Courier New" w:hint="default"/>
      </w:rPr>
    </w:lvl>
    <w:lvl w:ilvl="8">
      <w:start w:val="1"/>
      <w:numFmt w:val="decimal"/>
      <w:lvlText w:val="%9."/>
      <w:lvlJc w:val="left"/>
      <w:pPr>
        <w:ind w:left="4779" w:hanging="360"/>
      </w:pPr>
      <w:rPr>
        <w:rFonts w:hint="default"/>
      </w:rPr>
    </w:lvl>
  </w:abstractNum>
  <w:abstractNum w:abstractNumId="17" w15:restartNumberingAfterBreak="0">
    <w:nsid w:val="6E981181"/>
    <w:multiLevelType w:val="hybridMultilevel"/>
    <w:tmpl w:val="538EEACA"/>
    <w:lvl w:ilvl="0" w:tplc="43162CF0">
      <w:start w:val="1"/>
      <w:numFmt w:val="bullet"/>
      <w:pStyle w:val="Bullet10"/>
      <w:lvlText w:val="-"/>
      <w:lvlJc w:val="left"/>
      <w:pPr>
        <w:tabs>
          <w:tab w:val="num" w:pos="1559"/>
        </w:tabs>
        <w:ind w:left="1559"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7"/>
  </w:num>
  <w:num w:numId="4">
    <w:abstractNumId w:val="7"/>
  </w:num>
  <w:num w:numId="5">
    <w:abstractNumId w:val="4"/>
  </w:num>
  <w:num w:numId="6">
    <w:abstractNumId w:val="15"/>
  </w:num>
  <w:num w:numId="7">
    <w:abstractNumId w:val="3"/>
  </w:num>
  <w:num w:numId="8">
    <w:abstractNumId w:val="16"/>
  </w:num>
  <w:num w:numId="9">
    <w:abstractNumId w:val="1"/>
  </w:num>
  <w:num w:numId="10">
    <w:abstractNumId w:val="11"/>
  </w:num>
  <w:num w:numId="11">
    <w:abstractNumId w:val="6"/>
  </w:num>
  <w:num w:numId="12">
    <w:abstractNumId w:val="12"/>
  </w:num>
  <w:num w:numId="13">
    <w:abstractNumId w:val="9"/>
  </w:num>
  <w:num w:numId="14">
    <w:abstractNumId w:val="14"/>
  </w:num>
  <w:num w:numId="15">
    <w:abstractNumId w:val="8"/>
  </w:num>
  <w:num w:numId="16">
    <w:abstractNumId w:val="13"/>
  </w:num>
  <w:num w:numId="17">
    <w:abstractNumId w:val="5"/>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AC"/>
    <w:rsid w:val="00000B19"/>
    <w:rsid w:val="00002549"/>
    <w:rsid w:val="0000602D"/>
    <w:rsid w:val="0001230E"/>
    <w:rsid w:val="00017DA9"/>
    <w:rsid w:val="00020AC8"/>
    <w:rsid w:val="0002510B"/>
    <w:rsid w:val="00026AC3"/>
    <w:rsid w:val="0003107D"/>
    <w:rsid w:val="000351BD"/>
    <w:rsid w:val="00036EB9"/>
    <w:rsid w:val="00040C6A"/>
    <w:rsid w:val="00047E22"/>
    <w:rsid w:val="00047E78"/>
    <w:rsid w:val="0005268A"/>
    <w:rsid w:val="000548EB"/>
    <w:rsid w:val="000604AA"/>
    <w:rsid w:val="0006170C"/>
    <w:rsid w:val="000623F3"/>
    <w:rsid w:val="000629E4"/>
    <w:rsid w:val="000742EA"/>
    <w:rsid w:val="00075ACD"/>
    <w:rsid w:val="00075D0F"/>
    <w:rsid w:val="00080B36"/>
    <w:rsid w:val="00081AD3"/>
    <w:rsid w:val="00081B5B"/>
    <w:rsid w:val="00082267"/>
    <w:rsid w:val="0008595C"/>
    <w:rsid w:val="000876DC"/>
    <w:rsid w:val="00092C2C"/>
    <w:rsid w:val="00093885"/>
    <w:rsid w:val="00095FCF"/>
    <w:rsid w:val="0009755B"/>
    <w:rsid w:val="000A4026"/>
    <w:rsid w:val="000A595F"/>
    <w:rsid w:val="000B30DE"/>
    <w:rsid w:val="000B4B3A"/>
    <w:rsid w:val="000B524B"/>
    <w:rsid w:val="000B6827"/>
    <w:rsid w:val="000B6B90"/>
    <w:rsid w:val="000B6C4E"/>
    <w:rsid w:val="000C038F"/>
    <w:rsid w:val="000C05D3"/>
    <w:rsid w:val="000C16C7"/>
    <w:rsid w:val="000C3078"/>
    <w:rsid w:val="000C6E41"/>
    <w:rsid w:val="000C71DC"/>
    <w:rsid w:val="000D0058"/>
    <w:rsid w:val="000D0231"/>
    <w:rsid w:val="000D08F7"/>
    <w:rsid w:val="000D3CAF"/>
    <w:rsid w:val="000D5B78"/>
    <w:rsid w:val="000D5CA9"/>
    <w:rsid w:val="000D77BC"/>
    <w:rsid w:val="000E3633"/>
    <w:rsid w:val="000E5A2D"/>
    <w:rsid w:val="000F065E"/>
    <w:rsid w:val="000F4410"/>
    <w:rsid w:val="000F5D61"/>
    <w:rsid w:val="000F620F"/>
    <w:rsid w:val="000F6DAF"/>
    <w:rsid w:val="001015D7"/>
    <w:rsid w:val="001058AF"/>
    <w:rsid w:val="001069C5"/>
    <w:rsid w:val="0010772A"/>
    <w:rsid w:val="00110A86"/>
    <w:rsid w:val="00110DD8"/>
    <w:rsid w:val="0011413C"/>
    <w:rsid w:val="001304A8"/>
    <w:rsid w:val="001306E7"/>
    <w:rsid w:val="00135CE8"/>
    <w:rsid w:val="00137E62"/>
    <w:rsid w:val="0014537F"/>
    <w:rsid w:val="00147051"/>
    <w:rsid w:val="00147A24"/>
    <w:rsid w:val="001519E8"/>
    <w:rsid w:val="00153AB7"/>
    <w:rsid w:val="00153C49"/>
    <w:rsid w:val="00170AA3"/>
    <w:rsid w:val="00172D49"/>
    <w:rsid w:val="00173847"/>
    <w:rsid w:val="001738FC"/>
    <w:rsid w:val="00174C0E"/>
    <w:rsid w:val="00176A18"/>
    <w:rsid w:val="00177099"/>
    <w:rsid w:val="001816E6"/>
    <w:rsid w:val="00182E72"/>
    <w:rsid w:val="00185134"/>
    <w:rsid w:val="001855D9"/>
    <w:rsid w:val="00190942"/>
    <w:rsid w:val="001A06E8"/>
    <w:rsid w:val="001A1AEB"/>
    <w:rsid w:val="001A2831"/>
    <w:rsid w:val="001A76F7"/>
    <w:rsid w:val="001B0B79"/>
    <w:rsid w:val="001B2EB4"/>
    <w:rsid w:val="001B60F0"/>
    <w:rsid w:val="001B7139"/>
    <w:rsid w:val="001B7415"/>
    <w:rsid w:val="001C06BF"/>
    <w:rsid w:val="001C1C1C"/>
    <w:rsid w:val="001C4E55"/>
    <w:rsid w:val="001C79F2"/>
    <w:rsid w:val="001D36ED"/>
    <w:rsid w:val="001E17CE"/>
    <w:rsid w:val="001E1F9B"/>
    <w:rsid w:val="001E204D"/>
    <w:rsid w:val="001E4A51"/>
    <w:rsid w:val="001E570E"/>
    <w:rsid w:val="001E5C26"/>
    <w:rsid w:val="001F0292"/>
    <w:rsid w:val="001F26E4"/>
    <w:rsid w:val="001F543A"/>
    <w:rsid w:val="002014C1"/>
    <w:rsid w:val="00202AE9"/>
    <w:rsid w:val="0020300E"/>
    <w:rsid w:val="002319EB"/>
    <w:rsid w:val="00240805"/>
    <w:rsid w:val="0024251A"/>
    <w:rsid w:val="00244EC8"/>
    <w:rsid w:val="0024518C"/>
    <w:rsid w:val="00250E1C"/>
    <w:rsid w:val="00251364"/>
    <w:rsid w:val="00251995"/>
    <w:rsid w:val="0025308D"/>
    <w:rsid w:val="00254CFD"/>
    <w:rsid w:val="00260CE4"/>
    <w:rsid w:val="00267E72"/>
    <w:rsid w:val="002759EF"/>
    <w:rsid w:val="00276F36"/>
    <w:rsid w:val="00280CAA"/>
    <w:rsid w:val="002826B3"/>
    <w:rsid w:val="0028422A"/>
    <w:rsid w:val="002915AF"/>
    <w:rsid w:val="002928F1"/>
    <w:rsid w:val="00293031"/>
    <w:rsid w:val="00293430"/>
    <w:rsid w:val="00293AB2"/>
    <w:rsid w:val="00297247"/>
    <w:rsid w:val="002A1AE0"/>
    <w:rsid w:val="002A318D"/>
    <w:rsid w:val="002A68E8"/>
    <w:rsid w:val="002A6A15"/>
    <w:rsid w:val="002A738B"/>
    <w:rsid w:val="002B63DC"/>
    <w:rsid w:val="002C4570"/>
    <w:rsid w:val="002C4EB9"/>
    <w:rsid w:val="002C52A7"/>
    <w:rsid w:val="002D4E2A"/>
    <w:rsid w:val="002D67D9"/>
    <w:rsid w:val="002E0348"/>
    <w:rsid w:val="002E05E9"/>
    <w:rsid w:val="002E0E63"/>
    <w:rsid w:val="002F27ED"/>
    <w:rsid w:val="002F3553"/>
    <w:rsid w:val="002F3A04"/>
    <w:rsid w:val="0030023A"/>
    <w:rsid w:val="0030135F"/>
    <w:rsid w:val="00301E9D"/>
    <w:rsid w:val="003051EE"/>
    <w:rsid w:val="00315122"/>
    <w:rsid w:val="00316462"/>
    <w:rsid w:val="00316771"/>
    <w:rsid w:val="00317240"/>
    <w:rsid w:val="003177C4"/>
    <w:rsid w:val="003200B3"/>
    <w:rsid w:val="003249D6"/>
    <w:rsid w:val="00325753"/>
    <w:rsid w:val="00326830"/>
    <w:rsid w:val="003373ED"/>
    <w:rsid w:val="00337EF2"/>
    <w:rsid w:val="0034080E"/>
    <w:rsid w:val="00342EE4"/>
    <w:rsid w:val="00344D70"/>
    <w:rsid w:val="003451EF"/>
    <w:rsid w:val="00345528"/>
    <w:rsid w:val="00352CB6"/>
    <w:rsid w:val="00353D26"/>
    <w:rsid w:val="0035704B"/>
    <w:rsid w:val="0035720E"/>
    <w:rsid w:val="003625C9"/>
    <w:rsid w:val="00364D62"/>
    <w:rsid w:val="00365593"/>
    <w:rsid w:val="00367F91"/>
    <w:rsid w:val="00367FD1"/>
    <w:rsid w:val="00372478"/>
    <w:rsid w:val="003724D8"/>
    <w:rsid w:val="00377255"/>
    <w:rsid w:val="00381851"/>
    <w:rsid w:val="00384872"/>
    <w:rsid w:val="00386153"/>
    <w:rsid w:val="00386B45"/>
    <w:rsid w:val="00390AF4"/>
    <w:rsid w:val="00394135"/>
    <w:rsid w:val="00395020"/>
    <w:rsid w:val="00397397"/>
    <w:rsid w:val="003A39B3"/>
    <w:rsid w:val="003A6FF2"/>
    <w:rsid w:val="003C1C5A"/>
    <w:rsid w:val="003C1CB2"/>
    <w:rsid w:val="003C1DA1"/>
    <w:rsid w:val="003D3A07"/>
    <w:rsid w:val="003D3B5D"/>
    <w:rsid w:val="003E20B1"/>
    <w:rsid w:val="003E251D"/>
    <w:rsid w:val="003E294E"/>
    <w:rsid w:val="003E4854"/>
    <w:rsid w:val="003F2438"/>
    <w:rsid w:val="003F56AC"/>
    <w:rsid w:val="003F78DA"/>
    <w:rsid w:val="003F7B90"/>
    <w:rsid w:val="003F7BA9"/>
    <w:rsid w:val="0040092C"/>
    <w:rsid w:val="004010A1"/>
    <w:rsid w:val="00401DAB"/>
    <w:rsid w:val="004119B6"/>
    <w:rsid w:val="004122AA"/>
    <w:rsid w:val="00413442"/>
    <w:rsid w:val="00414F5D"/>
    <w:rsid w:val="00420E60"/>
    <w:rsid w:val="00422771"/>
    <w:rsid w:val="00423FC7"/>
    <w:rsid w:val="00424C81"/>
    <w:rsid w:val="0042553D"/>
    <w:rsid w:val="00427334"/>
    <w:rsid w:val="004275F3"/>
    <w:rsid w:val="0043383C"/>
    <w:rsid w:val="00433F44"/>
    <w:rsid w:val="004362DF"/>
    <w:rsid w:val="004374F3"/>
    <w:rsid w:val="004423BB"/>
    <w:rsid w:val="00443013"/>
    <w:rsid w:val="0044343A"/>
    <w:rsid w:val="00447424"/>
    <w:rsid w:val="00452B8D"/>
    <w:rsid w:val="00463C7C"/>
    <w:rsid w:val="00464C05"/>
    <w:rsid w:val="004670F6"/>
    <w:rsid w:val="00467883"/>
    <w:rsid w:val="00471C4A"/>
    <w:rsid w:val="00472D80"/>
    <w:rsid w:val="00476E05"/>
    <w:rsid w:val="00483D5E"/>
    <w:rsid w:val="004857DD"/>
    <w:rsid w:val="00490ADD"/>
    <w:rsid w:val="004930CB"/>
    <w:rsid w:val="00494AC2"/>
    <w:rsid w:val="004971C4"/>
    <w:rsid w:val="004A393D"/>
    <w:rsid w:val="004A4B60"/>
    <w:rsid w:val="004A72C2"/>
    <w:rsid w:val="004A7D05"/>
    <w:rsid w:val="004B0205"/>
    <w:rsid w:val="004B0BA0"/>
    <w:rsid w:val="004B1BC3"/>
    <w:rsid w:val="004B202E"/>
    <w:rsid w:val="004B6791"/>
    <w:rsid w:val="004C2436"/>
    <w:rsid w:val="004C395B"/>
    <w:rsid w:val="004C3FFF"/>
    <w:rsid w:val="004C6599"/>
    <w:rsid w:val="004C69ED"/>
    <w:rsid w:val="004C7000"/>
    <w:rsid w:val="004D2600"/>
    <w:rsid w:val="004D362A"/>
    <w:rsid w:val="004D4994"/>
    <w:rsid w:val="004D7630"/>
    <w:rsid w:val="004E1166"/>
    <w:rsid w:val="004E1529"/>
    <w:rsid w:val="004E75EA"/>
    <w:rsid w:val="004E7EE1"/>
    <w:rsid w:val="004F15E5"/>
    <w:rsid w:val="004F3382"/>
    <w:rsid w:val="004F4ADC"/>
    <w:rsid w:val="004F5142"/>
    <w:rsid w:val="004F549C"/>
    <w:rsid w:val="004F6253"/>
    <w:rsid w:val="004F6F55"/>
    <w:rsid w:val="00500DF3"/>
    <w:rsid w:val="00501916"/>
    <w:rsid w:val="005027F4"/>
    <w:rsid w:val="00504093"/>
    <w:rsid w:val="00512B23"/>
    <w:rsid w:val="00512E5B"/>
    <w:rsid w:val="0051687B"/>
    <w:rsid w:val="0052130D"/>
    <w:rsid w:val="005231BE"/>
    <w:rsid w:val="00524F7E"/>
    <w:rsid w:val="00526B25"/>
    <w:rsid w:val="00526EEF"/>
    <w:rsid w:val="00534921"/>
    <w:rsid w:val="00543809"/>
    <w:rsid w:val="00545E3A"/>
    <w:rsid w:val="0054719E"/>
    <w:rsid w:val="005508BC"/>
    <w:rsid w:val="00556EB0"/>
    <w:rsid w:val="00557895"/>
    <w:rsid w:val="00563160"/>
    <w:rsid w:val="005631C0"/>
    <w:rsid w:val="0056386E"/>
    <w:rsid w:val="00565955"/>
    <w:rsid w:val="00566F51"/>
    <w:rsid w:val="00571546"/>
    <w:rsid w:val="00571E26"/>
    <w:rsid w:val="0058166F"/>
    <w:rsid w:val="00590680"/>
    <w:rsid w:val="00593473"/>
    <w:rsid w:val="0059783D"/>
    <w:rsid w:val="005A2A5E"/>
    <w:rsid w:val="005A7EA7"/>
    <w:rsid w:val="005B04AE"/>
    <w:rsid w:val="005B7DF7"/>
    <w:rsid w:val="005C105C"/>
    <w:rsid w:val="005C2D49"/>
    <w:rsid w:val="005C465A"/>
    <w:rsid w:val="005C50D6"/>
    <w:rsid w:val="005C5372"/>
    <w:rsid w:val="005D14C3"/>
    <w:rsid w:val="005D5165"/>
    <w:rsid w:val="005E12C4"/>
    <w:rsid w:val="005E5E6A"/>
    <w:rsid w:val="005F2774"/>
    <w:rsid w:val="005F3A6D"/>
    <w:rsid w:val="005F42F2"/>
    <w:rsid w:val="005F6030"/>
    <w:rsid w:val="00600E05"/>
    <w:rsid w:val="00601517"/>
    <w:rsid w:val="00602E94"/>
    <w:rsid w:val="0060312B"/>
    <w:rsid w:val="00605A0C"/>
    <w:rsid w:val="00605D1E"/>
    <w:rsid w:val="0060720C"/>
    <w:rsid w:val="00615048"/>
    <w:rsid w:val="00620FC1"/>
    <w:rsid w:val="00621B53"/>
    <w:rsid w:val="00621F07"/>
    <w:rsid w:val="00622E27"/>
    <w:rsid w:val="00622F49"/>
    <w:rsid w:val="006268A2"/>
    <w:rsid w:val="006307CB"/>
    <w:rsid w:val="00632165"/>
    <w:rsid w:val="00634A15"/>
    <w:rsid w:val="006416AF"/>
    <w:rsid w:val="0064221D"/>
    <w:rsid w:val="00642809"/>
    <w:rsid w:val="00645837"/>
    <w:rsid w:val="006463C5"/>
    <w:rsid w:val="00650D1D"/>
    <w:rsid w:val="00654694"/>
    <w:rsid w:val="00657BE8"/>
    <w:rsid w:val="006618AD"/>
    <w:rsid w:val="00662074"/>
    <w:rsid w:val="00664D25"/>
    <w:rsid w:val="0066536F"/>
    <w:rsid w:val="00667EDA"/>
    <w:rsid w:val="0067580E"/>
    <w:rsid w:val="006852E7"/>
    <w:rsid w:val="00692AAC"/>
    <w:rsid w:val="006971C4"/>
    <w:rsid w:val="006A378B"/>
    <w:rsid w:val="006A4237"/>
    <w:rsid w:val="006A4AD3"/>
    <w:rsid w:val="006A5AE0"/>
    <w:rsid w:val="006B1B2E"/>
    <w:rsid w:val="006B2C0B"/>
    <w:rsid w:val="006B39EA"/>
    <w:rsid w:val="006B6814"/>
    <w:rsid w:val="006C4E19"/>
    <w:rsid w:val="006C4EB8"/>
    <w:rsid w:val="006C5D8D"/>
    <w:rsid w:val="006C6198"/>
    <w:rsid w:val="006C661B"/>
    <w:rsid w:val="006C6661"/>
    <w:rsid w:val="006D277F"/>
    <w:rsid w:val="006D2ACB"/>
    <w:rsid w:val="006D4090"/>
    <w:rsid w:val="006D6355"/>
    <w:rsid w:val="006D7033"/>
    <w:rsid w:val="006E1A41"/>
    <w:rsid w:val="006E3496"/>
    <w:rsid w:val="006E48A6"/>
    <w:rsid w:val="006E5F3A"/>
    <w:rsid w:val="006E5FAA"/>
    <w:rsid w:val="006E7014"/>
    <w:rsid w:val="006F0E4F"/>
    <w:rsid w:val="006F2ECF"/>
    <w:rsid w:val="006F3FAD"/>
    <w:rsid w:val="00707C4C"/>
    <w:rsid w:val="00714657"/>
    <w:rsid w:val="00714F7A"/>
    <w:rsid w:val="0071708E"/>
    <w:rsid w:val="00722264"/>
    <w:rsid w:val="007254B8"/>
    <w:rsid w:val="00725D2F"/>
    <w:rsid w:val="007261E7"/>
    <w:rsid w:val="00734046"/>
    <w:rsid w:val="00735D98"/>
    <w:rsid w:val="0073775E"/>
    <w:rsid w:val="00737AEE"/>
    <w:rsid w:val="007432A6"/>
    <w:rsid w:val="007446B8"/>
    <w:rsid w:val="00744CCE"/>
    <w:rsid w:val="00750159"/>
    <w:rsid w:val="00750A1A"/>
    <w:rsid w:val="00750DA2"/>
    <w:rsid w:val="00751185"/>
    <w:rsid w:val="00761B14"/>
    <w:rsid w:val="007633EF"/>
    <w:rsid w:val="007716B1"/>
    <w:rsid w:val="00773684"/>
    <w:rsid w:val="0077553F"/>
    <w:rsid w:val="00776B42"/>
    <w:rsid w:val="00777FA9"/>
    <w:rsid w:val="00784224"/>
    <w:rsid w:val="007847F7"/>
    <w:rsid w:val="00785C2B"/>
    <w:rsid w:val="00785CB1"/>
    <w:rsid w:val="00795676"/>
    <w:rsid w:val="00795B98"/>
    <w:rsid w:val="007A4D59"/>
    <w:rsid w:val="007A5A3F"/>
    <w:rsid w:val="007A66D3"/>
    <w:rsid w:val="007B1693"/>
    <w:rsid w:val="007B1B43"/>
    <w:rsid w:val="007B5016"/>
    <w:rsid w:val="007B6355"/>
    <w:rsid w:val="007C3C12"/>
    <w:rsid w:val="007C46FA"/>
    <w:rsid w:val="007C4A28"/>
    <w:rsid w:val="007C52B9"/>
    <w:rsid w:val="007D15FF"/>
    <w:rsid w:val="007D4774"/>
    <w:rsid w:val="007D4CD7"/>
    <w:rsid w:val="007D566A"/>
    <w:rsid w:val="007D6618"/>
    <w:rsid w:val="007D7A9A"/>
    <w:rsid w:val="007E26D2"/>
    <w:rsid w:val="007E2F4E"/>
    <w:rsid w:val="007E47E4"/>
    <w:rsid w:val="007E49B3"/>
    <w:rsid w:val="007E4AFE"/>
    <w:rsid w:val="007F0CAE"/>
    <w:rsid w:val="007F1888"/>
    <w:rsid w:val="007F7550"/>
    <w:rsid w:val="00802237"/>
    <w:rsid w:val="008026C0"/>
    <w:rsid w:val="008045A0"/>
    <w:rsid w:val="0080614A"/>
    <w:rsid w:val="008073EC"/>
    <w:rsid w:val="0081172A"/>
    <w:rsid w:val="00820AEE"/>
    <w:rsid w:val="00825700"/>
    <w:rsid w:val="008272C8"/>
    <w:rsid w:val="00827CA1"/>
    <w:rsid w:val="008307E7"/>
    <w:rsid w:val="00830A55"/>
    <w:rsid w:val="00840FC6"/>
    <w:rsid w:val="008454E9"/>
    <w:rsid w:val="008467E5"/>
    <w:rsid w:val="00852C69"/>
    <w:rsid w:val="00853246"/>
    <w:rsid w:val="00853250"/>
    <w:rsid w:val="008533C8"/>
    <w:rsid w:val="008536F5"/>
    <w:rsid w:val="00855797"/>
    <w:rsid w:val="00856D52"/>
    <w:rsid w:val="00857D97"/>
    <w:rsid w:val="00860EE4"/>
    <w:rsid w:val="0086297B"/>
    <w:rsid w:val="00863C74"/>
    <w:rsid w:val="00865D23"/>
    <w:rsid w:val="00865E3A"/>
    <w:rsid w:val="008714CD"/>
    <w:rsid w:val="00876505"/>
    <w:rsid w:val="00880116"/>
    <w:rsid w:val="00880DC6"/>
    <w:rsid w:val="0088258B"/>
    <w:rsid w:val="00883365"/>
    <w:rsid w:val="00884D20"/>
    <w:rsid w:val="00891D55"/>
    <w:rsid w:val="00891E1A"/>
    <w:rsid w:val="0089245B"/>
    <w:rsid w:val="008A0FE5"/>
    <w:rsid w:val="008A1AF3"/>
    <w:rsid w:val="008A5F0E"/>
    <w:rsid w:val="008A6882"/>
    <w:rsid w:val="008A6D90"/>
    <w:rsid w:val="008B20D4"/>
    <w:rsid w:val="008B27F1"/>
    <w:rsid w:val="008B3D06"/>
    <w:rsid w:val="008C0B92"/>
    <w:rsid w:val="008C617C"/>
    <w:rsid w:val="008C61D3"/>
    <w:rsid w:val="008C641E"/>
    <w:rsid w:val="008D0495"/>
    <w:rsid w:val="008E3AB0"/>
    <w:rsid w:val="008E5844"/>
    <w:rsid w:val="008E5B62"/>
    <w:rsid w:val="008F1174"/>
    <w:rsid w:val="008F1FE1"/>
    <w:rsid w:val="008F5A42"/>
    <w:rsid w:val="00904A62"/>
    <w:rsid w:val="00907B0B"/>
    <w:rsid w:val="00910115"/>
    <w:rsid w:val="009108AE"/>
    <w:rsid w:val="0091257A"/>
    <w:rsid w:val="00915683"/>
    <w:rsid w:val="00917E2C"/>
    <w:rsid w:val="00923208"/>
    <w:rsid w:val="0092353F"/>
    <w:rsid w:val="00923EFC"/>
    <w:rsid w:val="009268C0"/>
    <w:rsid w:val="00927F8F"/>
    <w:rsid w:val="00934C62"/>
    <w:rsid w:val="00942623"/>
    <w:rsid w:val="00942A3C"/>
    <w:rsid w:val="0094771D"/>
    <w:rsid w:val="00951707"/>
    <w:rsid w:val="009517CE"/>
    <w:rsid w:val="009524E9"/>
    <w:rsid w:val="00952551"/>
    <w:rsid w:val="00953C6D"/>
    <w:rsid w:val="00957404"/>
    <w:rsid w:val="009618F7"/>
    <w:rsid w:val="00965B56"/>
    <w:rsid w:val="00966483"/>
    <w:rsid w:val="00971DD5"/>
    <w:rsid w:val="009722FB"/>
    <w:rsid w:val="00976A23"/>
    <w:rsid w:val="00977C49"/>
    <w:rsid w:val="00982298"/>
    <w:rsid w:val="00982923"/>
    <w:rsid w:val="00982B92"/>
    <w:rsid w:val="0098612D"/>
    <w:rsid w:val="00986A89"/>
    <w:rsid w:val="00990D10"/>
    <w:rsid w:val="00993F84"/>
    <w:rsid w:val="00995E22"/>
    <w:rsid w:val="00995E6A"/>
    <w:rsid w:val="00996EC6"/>
    <w:rsid w:val="0099794F"/>
    <w:rsid w:val="009979DF"/>
    <w:rsid w:val="009A1E40"/>
    <w:rsid w:val="009A29FA"/>
    <w:rsid w:val="009B345F"/>
    <w:rsid w:val="009B5701"/>
    <w:rsid w:val="009B57F6"/>
    <w:rsid w:val="009C201D"/>
    <w:rsid w:val="009C4036"/>
    <w:rsid w:val="009C43A6"/>
    <w:rsid w:val="009C6EC2"/>
    <w:rsid w:val="009C79D6"/>
    <w:rsid w:val="009D33D0"/>
    <w:rsid w:val="009E03ED"/>
    <w:rsid w:val="009E30CB"/>
    <w:rsid w:val="009E3320"/>
    <w:rsid w:val="009E426C"/>
    <w:rsid w:val="009E489F"/>
    <w:rsid w:val="009E5FC2"/>
    <w:rsid w:val="009E623F"/>
    <w:rsid w:val="009E7A06"/>
    <w:rsid w:val="009F1957"/>
    <w:rsid w:val="009F1A58"/>
    <w:rsid w:val="009F1DD4"/>
    <w:rsid w:val="009F3493"/>
    <w:rsid w:val="009F4DAB"/>
    <w:rsid w:val="009F5631"/>
    <w:rsid w:val="009F6086"/>
    <w:rsid w:val="00A014F3"/>
    <w:rsid w:val="00A04133"/>
    <w:rsid w:val="00A04745"/>
    <w:rsid w:val="00A04A0E"/>
    <w:rsid w:val="00A0736C"/>
    <w:rsid w:val="00A1341C"/>
    <w:rsid w:val="00A22683"/>
    <w:rsid w:val="00A22B50"/>
    <w:rsid w:val="00A22FCF"/>
    <w:rsid w:val="00A25CE7"/>
    <w:rsid w:val="00A266F8"/>
    <w:rsid w:val="00A31510"/>
    <w:rsid w:val="00A329DB"/>
    <w:rsid w:val="00A34A70"/>
    <w:rsid w:val="00A35DA7"/>
    <w:rsid w:val="00A36626"/>
    <w:rsid w:val="00A42EED"/>
    <w:rsid w:val="00A45A88"/>
    <w:rsid w:val="00A53AB4"/>
    <w:rsid w:val="00A54987"/>
    <w:rsid w:val="00A56833"/>
    <w:rsid w:val="00A629EA"/>
    <w:rsid w:val="00A642F2"/>
    <w:rsid w:val="00A65499"/>
    <w:rsid w:val="00A66622"/>
    <w:rsid w:val="00A7133D"/>
    <w:rsid w:val="00A75885"/>
    <w:rsid w:val="00A7682A"/>
    <w:rsid w:val="00A81691"/>
    <w:rsid w:val="00A84915"/>
    <w:rsid w:val="00A8585F"/>
    <w:rsid w:val="00A85AFD"/>
    <w:rsid w:val="00A86030"/>
    <w:rsid w:val="00A87FA4"/>
    <w:rsid w:val="00AA0400"/>
    <w:rsid w:val="00AA160D"/>
    <w:rsid w:val="00AA1BF9"/>
    <w:rsid w:val="00AA2820"/>
    <w:rsid w:val="00AA34A5"/>
    <w:rsid w:val="00AB22BD"/>
    <w:rsid w:val="00AB27FF"/>
    <w:rsid w:val="00AB2DA2"/>
    <w:rsid w:val="00AB7075"/>
    <w:rsid w:val="00AC3441"/>
    <w:rsid w:val="00AC4D3F"/>
    <w:rsid w:val="00AC5867"/>
    <w:rsid w:val="00AD29AE"/>
    <w:rsid w:val="00AD3058"/>
    <w:rsid w:val="00AD4283"/>
    <w:rsid w:val="00AD4F13"/>
    <w:rsid w:val="00AD5702"/>
    <w:rsid w:val="00AD7811"/>
    <w:rsid w:val="00AE1105"/>
    <w:rsid w:val="00AE20AC"/>
    <w:rsid w:val="00AE77E5"/>
    <w:rsid w:val="00AF0228"/>
    <w:rsid w:val="00AF3F17"/>
    <w:rsid w:val="00AF6497"/>
    <w:rsid w:val="00AF7C7B"/>
    <w:rsid w:val="00B03609"/>
    <w:rsid w:val="00B100CC"/>
    <w:rsid w:val="00B12F4E"/>
    <w:rsid w:val="00B15AA5"/>
    <w:rsid w:val="00B15B92"/>
    <w:rsid w:val="00B16D86"/>
    <w:rsid w:val="00B20F10"/>
    <w:rsid w:val="00B2160A"/>
    <w:rsid w:val="00B22590"/>
    <w:rsid w:val="00B2302E"/>
    <w:rsid w:val="00B254DF"/>
    <w:rsid w:val="00B25746"/>
    <w:rsid w:val="00B25C31"/>
    <w:rsid w:val="00B25EC0"/>
    <w:rsid w:val="00B26FDC"/>
    <w:rsid w:val="00B27E6D"/>
    <w:rsid w:val="00B33060"/>
    <w:rsid w:val="00B35C2F"/>
    <w:rsid w:val="00B369DB"/>
    <w:rsid w:val="00B411D8"/>
    <w:rsid w:val="00B41BF3"/>
    <w:rsid w:val="00B43F2A"/>
    <w:rsid w:val="00B454DC"/>
    <w:rsid w:val="00B46F65"/>
    <w:rsid w:val="00B47D84"/>
    <w:rsid w:val="00B50C6D"/>
    <w:rsid w:val="00B53A46"/>
    <w:rsid w:val="00B549E9"/>
    <w:rsid w:val="00B57DC4"/>
    <w:rsid w:val="00B63C6F"/>
    <w:rsid w:val="00B6717E"/>
    <w:rsid w:val="00B70804"/>
    <w:rsid w:val="00B717B8"/>
    <w:rsid w:val="00B7253E"/>
    <w:rsid w:val="00B72E09"/>
    <w:rsid w:val="00B74B26"/>
    <w:rsid w:val="00B7675A"/>
    <w:rsid w:val="00B76C40"/>
    <w:rsid w:val="00B77DE5"/>
    <w:rsid w:val="00B77FFD"/>
    <w:rsid w:val="00B802D5"/>
    <w:rsid w:val="00B81A49"/>
    <w:rsid w:val="00B83E40"/>
    <w:rsid w:val="00B84CAB"/>
    <w:rsid w:val="00B95D5E"/>
    <w:rsid w:val="00B9712F"/>
    <w:rsid w:val="00BA006C"/>
    <w:rsid w:val="00BA13C2"/>
    <w:rsid w:val="00BA3012"/>
    <w:rsid w:val="00BA358B"/>
    <w:rsid w:val="00BA5746"/>
    <w:rsid w:val="00BB107C"/>
    <w:rsid w:val="00BB15FD"/>
    <w:rsid w:val="00BB41DC"/>
    <w:rsid w:val="00BC1F35"/>
    <w:rsid w:val="00BC38E8"/>
    <w:rsid w:val="00BC6914"/>
    <w:rsid w:val="00BD216C"/>
    <w:rsid w:val="00BD5426"/>
    <w:rsid w:val="00BD6888"/>
    <w:rsid w:val="00BD7A66"/>
    <w:rsid w:val="00BE4125"/>
    <w:rsid w:val="00BE5790"/>
    <w:rsid w:val="00BE5C62"/>
    <w:rsid w:val="00BF3A06"/>
    <w:rsid w:val="00BF554F"/>
    <w:rsid w:val="00BF78D0"/>
    <w:rsid w:val="00C04CC4"/>
    <w:rsid w:val="00C102DE"/>
    <w:rsid w:val="00C17E06"/>
    <w:rsid w:val="00C21316"/>
    <w:rsid w:val="00C21C00"/>
    <w:rsid w:val="00C222B4"/>
    <w:rsid w:val="00C23B2E"/>
    <w:rsid w:val="00C23BC9"/>
    <w:rsid w:val="00C27AFA"/>
    <w:rsid w:val="00C3254D"/>
    <w:rsid w:val="00C3378F"/>
    <w:rsid w:val="00C350F8"/>
    <w:rsid w:val="00C36D58"/>
    <w:rsid w:val="00C378C6"/>
    <w:rsid w:val="00C40AE3"/>
    <w:rsid w:val="00C43EE6"/>
    <w:rsid w:val="00C45B1C"/>
    <w:rsid w:val="00C464B3"/>
    <w:rsid w:val="00C46A65"/>
    <w:rsid w:val="00C52EE4"/>
    <w:rsid w:val="00C531FE"/>
    <w:rsid w:val="00C53FDE"/>
    <w:rsid w:val="00C54A97"/>
    <w:rsid w:val="00C54ABE"/>
    <w:rsid w:val="00C57358"/>
    <w:rsid w:val="00C61182"/>
    <w:rsid w:val="00C645C9"/>
    <w:rsid w:val="00C65AE9"/>
    <w:rsid w:val="00C677CC"/>
    <w:rsid w:val="00C67EB3"/>
    <w:rsid w:val="00C711D8"/>
    <w:rsid w:val="00C75544"/>
    <w:rsid w:val="00C76BE9"/>
    <w:rsid w:val="00C7770A"/>
    <w:rsid w:val="00C80594"/>
    <w:rsid w:val="00C86640"/>
    <w:rsid w:val="00C87409"/>
    <w:rsid w:val="00C8792A"/>
    <w:rsid w:val="00C90CA6"/>
    <w:rsid w:val="00C96CB2"/>
    <w:rsid w:val="00CA09FC"/>
    <w:rsid w:val="00CA2B6F"/>
    <w:rsid w:val="00CA6954"/>
    <w:rsid w:val="00CA79FD"/>
    <w:rsid w:val="00CB74D8"/>
    <w:rsid w:val="00CB76D6"/>
    <w:rsid w:val="00CC2076"/>
    <w:rsid w:val="00CC29F9"/>
    <w:rsid w:val="00CC6EEB"/>
    <w:rsid w:val="00CC7ADE"/>
    <w:rsid w:val="00CC7AE9"/>
    <w:rsid w:val="00CD0892"/>
    <w:rsid w:val="00CD3131"/>
    <w:rsid w:val="00CD5CD7"/>
    <w:rsid w:val="00CD7DCD"/>
    <w:rsid w:val="00CE19AE"/>
    <w:rsid w:val="00CE42E7"/>
    <w:rsid w:val="00CE4F48"/>
    <w:rsid w:val="00CE7A3D"/>
    <w:rsid w:val="00CE7C27"/>
    <w:rsid w:val="00CF12A3"/>
    <w:rsid w:val="00CF24E0"/>
    <w:rsid w:val="00CF25BA"/>
    <w:rsid w:val="00D01B35"/>
    <w:rsid w:val="00D01EAF"/>
    <w:rsid w:val="00D0330B"/>
    <w:rsid w:val="00D0389B"/>
    <w:rsid w:val="00D042FA"/>
    <w:rsid w:val="00D165EF"/>
    <w:rsid w:val="00D17696"/>
    <w:rsid w:val="00D23ADC"/>
    <w:rsid w:val="00D23E23"/>
    <w:rsid w:val="00D23F31"/>
    <w:rsid w:val="00D306AD"/>
    <w:rsid w:val="00D32CE9"/>
    <w:rsid w:val="00D34519"/>
    <w:rsid w:val="00D36659"/>
    <w:rsid w:val="00D366FD"/>
    <w:rsid w:val="00D371F0"/>
    <w:rsid w:val="00D40ACB"/>
    <w:rsid w:val="00D42BF5"/>
    <w:rsid w:val="00D42DE1"/>
    <w:rsid w:val="00D4317F"/>
    <w:rsid w:val="00D43E75"/>
    <w:rsid w:val="00D457B7"/>
    <w:rsid w:val="00D4656E"/>
    <w:rsid w:val="00D47649"/>
    <w:rsid w:val="00D47EE4"/>
    <w:rsid w:val="00D501E7"/>
    <w:rsid w:val="00D55038"/>
    <w:rsid w:val="00D56636"/>
    <w:rsid w:val="00D5675D"/>
    <w:rsid w:val="00D56AAA"/>
    <w:rsid w:val="00D56B11"/>
    <w:rsid w:val="00D56FC1"/>
    <w:rsid w:val="00D60A31"/>
    <w:rsid w:val="00D610ED"/>
    <w:rsid w:val="00D62A70"/>
    <w:rsid w:val="00D65730"/>
    <w:rsid w:val="00D657CC"/>
    <w:rsid w:val="00D66FFE"/>
    <w:rsid w:val="00D70B86"/>
    <w:rsid w:val="00D735BB"/>
    <w:rsid w:val="00D8133C"/>
    <w:rsid w:val="00D81673"/>
    <w:rsid w:val="00D81F49"/>
    <w:rsid w:val="00D82991"/>
    <w:rsid w:val="00D84B2F"/>
    <w:rsid w:val="00D87025"/>
    <w:rsid w:val="00D9138F"/>
    <w:rsid w:val="00DA15F7"/>
    <w:rsid w:val="00DA37B3"/>
    <w:rsid w:val="00DA7904"/>
    <w:rsid w:val="00DB662D"/>
    <w:rsid w:val="00DB696C"/>
    <w:rsid w:val="00DB78D2"/>
    <w:rsid w:val="00DC38F0"/>
    <w:rsid w:val="00DC3969"/>
    <w:rsid w:val="00DC535A"/>
    <w:rsid w:val="00DD2224"/>
    <w:rsid w:val="00DD36D3"/>
    <w:rsid w:val="00DE1A1D"/>
    <w:rsid w:val="00DE6EA1"/>
    <w:rsid w:val="00DE76F3"/>
    <w:rsid w:val="00DF011E"/>
    <w:rsid w:val="00DF0E56"/>
    <w:rsid w:val="00DF2E9C"/>
    <w:rsid w:val="00DF583F"/>
    <w:rsid w:val="00DF64AC"/>
    <w:rsid w:val="00DF675A"/>
    <w:rsid w:val="00E02A99"/>
    <w:rsid w:val="00E074DF"/>
    <w:rsid w:val="00E1149E"/>
    <w:rsid w:val="00E12412"/>
    <w:rsid w:val="00E134D5"/>
    <w:rsid w:val="00E139A4"/>
    <w:rsid w:val="00E238F2"/>
    <w:rsid w:val="00E240DE"/>
    <w:rsid w:val="00E26BB1"/>
    <w:rsid w:val="00E27089"/>
    <w:rsid w:val="00E304BB"/>
    <w:rsid w:val="00E30FD2"/>
    <w:rsid w:val="00E3196D"/>
    <w:rsid w:val="00E32FC9"/>
    <w:rsid w:val="00E33777"/>
    <w:rsid w:val="00E34276"/>
    <w:rsid w:val="00E36102"/>
    <w:rsid w:val="00E3667B"/>
    <w:rsid w:val="00E42834"/>
    <w:rsid w:val="00E43097"/>
    <w:rsid w:val="00E451B1"/>
    <w:rsid w:val="00E451B7"/>
    <w:rsid w:val="00E460A6"/>
    <w:rsid w:val="00E50466"/>
    <w:rsid w:val="00E60201"/>
    <w:rsid w:val="00E6418E"/>
    <w:rsid w:val="00E649D9"/>
    <w:rsid w:val="00E7321B"/>
    <w:rsid w:val="00E75160"/>
    <w:rsid w:val="00E8155A"/>
    <w:rsid w:val="00E81DFB"/>
    <w:rsid w:val="00E820FB"/>
    <w:rsid w:val="00E864DE"/>
    <w:rsid w:val="00E874ED"/>
    <w:rsid w:val="00E905E7"/>
    <w:rsid w:val="00E92804"/>
    <w:rsid w:val="00E95082"/>
    <w:rsid w:val="00E95DC2"/>
    <w:rsid w:val="00EA1BA4"/>
    <w:rsid w:val="00EA412E"/>
    <w:rsid w:val="00EB203D"/>
    <w:rsid w:val="00EC700C"/>
    <w:rsid w:val="00EC726B"/>
    <w:rsid w:val="00EC7B2B"/>
    <w:rsid w:val="00ED1E49"/>
    <w:rsid w:val="00ED3D81"/>
    <w:rsid w:val="00ED4AAF"/>
    <w:rsid w:val="00EE1CCA"/>
    <w:rsid w:val="00EE45EC"/>
    <w:rsid w:val="00EE4B08"/>
    <w:rsid w:val="00EE5AC1"/>
    <w:rsid w:val="00EE7311"/>
    <w:rsid w:val="00EF2859"/>
    <w:rsid w:val="00EF37AB"/>
    <w:rsid w:val="00EF5575"/>
    <w:rsid w:val="00EF5FFB"/>
    <w:rsid w:val="00EF7D40"/>
    <w:rsid w:val="00F0561E"/>
    <w:rsid w:val="00F05E5D"/>
    <w:rsid w:val="00F06DA4"/>
    <w:rsid w:val="00F07563"/>
    <w:rsid w:val="00F105B2"/>
    <w:rsid w:val="00F10CB9"/>
    <w:rsid w:val="00F11519"/>
    <w:rsid w:val="00F12E74"/>
    <w:rsid w:val="00F16C11"/>
    <w:rsid w:val="00F20F3D"/>
    <w:rsid w:val="00F2191D"/>
    <w:rsid w:val="00F2276E"/>
    <w:rsid w:val="00F231F2"/>
    <w:rsid w:val="00F241C7"/>
    <w:rsid w:val="00F246FF"/>
    <w:rsid w:val="00F27CBD"/>
    <w:rsid w:val="00F3081F"/>
    <w:rsid w:val="00F31EE9"/>
    <w:rsid w:val="00F35D01"/>
    <w:rsid w:val="00F372B6"/>
    <w:rsid w:val="00F42032"/>
    <w:rsid w:val="00F454C1"/>
    <w:rsid w:val="00F5016F"/>
    <w:rsid w:val="00F505C2"/>
    <w:rsid w:val="00F51059"/>
    <w:rsid w:val="00F514B9"/>
    <w:rsid w:val="00F514F9"/>
    <w:rsid w:val="00F51882"/>
    <w:rsid w:val="00F51C5A"/>
    <w:rsid w:val="00F57405"/>
    <w:rsid w:val="00F6058C"/>
    <w:rsid w:val="00F61424"/>
    <w:rsid w:val="00F62D8B"/>
    <w:rsid w:val="00F64546"/>
    <w:rsid w:val="00F657CB"/>
    <w:rsid w:val="00F7022C"/>
    <w:rsid w:val="00F709F6"/>
    <w:rsid w:val="00F75B0C"/>
    <w:rsid w:val="00F80927"/>
    <w:rsid w:val="00F8179D"/>
    <w:rsid w:val="00F84F3F"/>
    <w:rsid w:val="00F8506B"/>
    <w:rsid w:val="00F85CE3"/>
    <w:rsid w:val="00F91E9F"/>
    <w:rsid w:val="00F936A3"/>
    <w:rsid w:val="00F9621E"/>
    <w:rsid w:val="00FA54DF"/>
    <w:rsid w:val="00FB5347"/>
    <w:rsid w:val="00FB5BBE"/>
    <w:rsid w:val="00FB5BCA"/>
    <w:rsid w:val="00FB5D71"/>
    <w:rsid w:val="00FB6F7A"/>
    <w:rsid w:val="00FC0B25"/>
    <w:rsid w:val="00FC1261"/>
    <w:rsid w:val="00FC1CA8"/>
    <w:rsid w:val="00FC41F3"/>
    <w:rsid w:val="00FC430A"/>
    <w:rsid w:val="00FC6F6E"/>
    <w:rsid w:val="00FD3826"/>
    <w:rsid w:val="00FD5AD9"/>
    <w:rsid w:val="00FD7C25"/>
    <w:rsid w:val="00FE113B"/>
    <w:rsid w:val="00FE2D85"/>
    <w:rsid w:val="00FE3E45"/>
    <w:rsid w:val="00FE5BBF"/>
    <w:rsid w:val="00FE77E7"/>
    <w:rsid w:val="00FF03FD"/>
    <w:rsid w:val="00FF0971"/>
    <w:rsid w:val="00FF0EC0"/>
    <w:rsid w:val="00FF2255"/>
    <w:rsid w:val="00FF3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5BD6"/>
  <w15:chartTrackingRefBased/>
  <w15:docId w15:val="{FC771FD7-AE77-4122-A4A6-431C99DF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5E5"/>
  </w:style>
  <w:style w:type="paragraph" w:styleId="Heading1">
    <w:name w:val="heading 1"/>
    <w:basedOn w:val="Normal"/>
    <w:next w:val="Normal"/>
    <w:link w:val="Heading1Char"/>
    <w:uiPriority w:val="9"/>
    <w:qFormat/>
    <w:rsid w:val="003F56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3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E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45B1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rsid w:val="00891E1A"/>
    <w:pPr>
      <w:keepNext/>
      <w:numPr>
        <w:ilvl w:val="6"/>
        <w:numId w:val="5"/>
      </w:numPr>
      <w:spacing w:after="0" w:line="240" w:lineRule="auto"/>
      <w:outlineLvl w:val="6"/>
    </w:pPr>
    <w:rPr>
      <w:rFonts w:eastAsia="Times New Roman" w:cs="Arial"/>
      <w:b/>
      <w:bCs/>
      <w:sz w:val="22"/>
      <w:szCs w:val="24"/>
      <w:u w:val="single"/>
    </w:rPr>
  </w:style>
  <w:style w:type="paragraph" w:styleId="Heading9">
    <w:name w:val="heading 9"/>
    <w:basedOn w:val="Normal"/>
    <w:next w:val="Normal"/>
    <w:link w:val="Heading9Char"/>
    <w:rsid w:val="00891E1A"/>
    <w:pPr>
      <w:keepNext/>
      <w:numPr>
        <w:ilvl w:val="8"/>
        <w:numId w:val="5"/>
      </w:numPr>
      <w:spacing w:after="0" w:line="240" w:lineRule="auto"/>
      <w:outlineLvl w:val="8"/>
    </w:pPr>
    <w:rPr>
      <w:rFonts w:eastAsia="Times New Roman" w:cs="Arial"/>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BodyText">
    <w:name w:val="covBodyText"/>
    <w:basedOn w:val="Normal"/>
    <w:qFormat/>
    <w:rsid w:val="003F56AC"/>
    <w:pPr>
      <w:spacing w:after="0" w:line="240" w:lineRule="auto"/>
      <w:ind w:left="397"/>
    </w:pPr>
    <w:rPr>
      <w:rFonts w:eastAsia="Times New Roman" w:cs="Times New Roman"/>
      <w:sz w:val="22"/>
      <w:szCs w:val="20"/>
      <w:lang w:eastAsia="en-AU"/>
    </w:rPr>
  </w:style>
  <w:style w:type="paragraph" w:customStyle="1" w:styleId="covTitle">
    <w:name w:val="covTitle"/>
    <w:basedOn w:val="Normal"/>
    <w:next w:val="covBodyText"/>
    <w:qFormat/>
    <w:rsid w:val="003F56AC"/>
    <w:pPr>
      <w:spacing w:after="0" w:line="240" w:lineRule="auto"/>
      <w:ind w:left="397"/>
    </w:pPr>
    <w:rPr>
      <w:rFonts w:eastAsia="Times New Roman" w:cs="Times New Roman"/>
      <w:b/>
      <w:sz w:val="34"/>
      <w:szCs w:val="20"/>
      <w:lang w:eastAsia="en-AU"/>
    </w:rPr>
  </w:style>
  <w:style w:type="character" w:customStyle="1" w:styleId="apple-converted-space">
    <w:name w:val="apple-converted-space"/>
    <w:basedOn w:val="DefaultParagraphFont"/>
    <w:rsid w:val="003F56AC"/>
  </w:style>
  <w:style w:type="character" w:customStyle="1" w:styleId="Heading1Char">
    <w:name w:val="Heading 1 Char"/>
    <w:basedOn w:val="DefaultParagraphFont"/>
    <w:link w:val="Heading1"/>
    <w:uiPriority w:val="9"/>
    <w:rsid w:val="003F56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56AC"/>
    <w:pPr>
      <w:outlineLvl w:val="9"/>
    </w:pPr>
    <w:rPr>
      <w:lang w:val="en-US"/>
    </w:rPr>
  </w:style>
  <w:style w:type="paragraph" w:styleId="ListParagraph">
    <w:name w:val="List Paragraph"/>
    <w:basedOn w:val="Normal"/>
    <w:link w:val="ListParagraphChar"/>
    <w:uiPriority w:val="34"/>
    <w:qFormat/>
    <w:rsid w:val="003F56AC"/>
    <w:pPr>
      <w:ind w:left="720"/>
      <w:contextualSpacing/>
    </w:pPr>
  </w:style>
  <w:style w:type="paragraph" w:styleId="Header">
    <w:name w:val="header"/>
    <w:basedOn w:val="Normal"/>
    <w:link w:val="HeaderChar"/>
    <w:uiPriority w:val="99"/>
    <w:unhideWhenUsed/>
    <w:rsid w:val="004A4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60"/>
  </w:style>
  <w:style w:type="paragraph" w:styleId="Footer">
    <w:name w:val="footer"/>
    <w:basedOn w:val="Normal"/>
    <w:link w:val="FooterChar"/>
    <w:uiPriority w:val="99"/>
    <w:unhideWhenUsed/>
    <w:rsid w:val="004A4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B60"/>
  </w:style>
  <w:style w:type="paragraph" w:styleId="NoSpacing">
    <w:name w:val="No Spacing"/>
    <w:link w:val="NoSpacingChar"/>
    <w:uiPriority w:val="1"/>
    <w:qFormat/>
    <w:rsid w:val="004A4B60"/>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A4B60"/>
    <w:rPr>
      <w:rFonts w:asciiTheme="minorHAnsi" w:eastAsiaTheme="minorEastAsia" w:hAnsiTheme="minorHAnsi"/>
      <w:sz w:val="22"/>
      <w:lang w:val="en-US"/>
    </w:rPr>
  </w:style>
  <w:style w:type="character" w:customStyle="1" w:styleId="Heading2Char">
    <w:name w:val="Heading 2 Char"/>
    <w:basedOn w:val="DefaultParagraphFont"/>
    <w:link w:val="Heading2"/>
    <w:uiPriority w:val="9"/>
    <w:rsid w:val="007B635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629EA"/>
    <w:rPr>
      <w:sz w:val="16"/>
      <w:szCs w:val="16"/>
    </w:rPr>
  </w:style>
  <w:style w:type="paragraph" w:styleId="CommentText">
    <w:name w:val="annotation text"/>
    <w:basedOn w:val="Normal"/>
    <w:link w:val="CommentTextChar"/>
    <w:uiPriority w:val="99"/>
    <w:unhideWhenUsed/>
    <w:rsid w:val="00A629EA"/>
    <w:pPr>
      <w:spacing w:line="240" w:lineRule="auto"/>
    </w:pPr>
    <w:rPr>
      <w:szCs w:val="20"/>
    </w:rPr>
  </w:style>
  <w:style w:type="character" w:customStyle="1" w:styleId="CommentTextChar">
    <w:name w:val="Comment Text Char"/>
    <w:basedOn w:val="DefaultParagraphFont"/>
    <w:link w:val="CommentText"/>
    <w:uiPriority w:val="99"/>
    <w:rsid w:val="00A629EA"/>
    <w:rPr>
      <w:szCs w:val="20"/>
    </w:rPr>
  </w:style>
  <w:style w:type="paragraph" w:styleId="CommentSubject">
    <w:name w:val="annotation subject"/>
    <w:basedOn w:val="CommentText"/>
    <w:next w:val="CommentText"/>
    <w:link w:val="CommentSubjectChar"/>
    <w:uiPriority w:val="99"/>
    <w:semiHidden/>
    <w:unhideWhenUsed/>
    <w:rsid w:val="00A629EA"/>
    <w:rPr>
      <w:b/>
      <w:bCs/>
    </w:rPr>
  </w:style>
  <w:style w:type="character" w:customStyle="1" w:styleId="CommentSubjectChar">
    <w:name w:val="Comment Subject Char"/>
    <w:basedOn w:val="CommentTextChar"/>
    <w:link w:val="CommentSubject"/>
    <w:uiPriority w:val="99"/>
    <w:semiHidden/>
    <w:rsid w:val="00A629EA"/>
    <w:rPr>
      <w:b/>
      <w:bCs/>
      <w:szCs w:val="20"/>
    </w:rPr>
  </w:style>
  <w:style w:type="paragraph" w:styleId="BalloonText">
    <w:name w:val="Balloon Text"/>
    <w:basedOn w:val="Normal"/>
    <w:link w:val="BalloonTextChar"/>
    <w:uiPriority w:val="99"/>
    <w:semiHidden/>
    <w:unhideWhenUsed/>
    <w:rsid w:val="00A62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9EA"/>
    <w:rPr>
      <w:rFonts w:ascii="Segoe UI" w:hAnsi="Segoe UI" w:cs="Segoe UI"/>
      <w:sz w:val="18"/>
      <w:szCs w:val="18"/>
    </w:rPr>
  </w:style>
  <w:style w:type="paragraph" w:styleId="TOC1">
    <w:name w:val="toc 1"/>
    <w:basedOn w:val="Normal"/>
    <w:next w:val="Normal"/>
    <w:autoRedefine/>
    <w:uiPriority w:val="39"/>
    <w:unhideWhenUsed/>
    <w:rsid w:val="004C6599"/>
    <w:pPr>
      <w:tabs>
        <w:tab w:val="left" w:pos="567"/>
        <w:tab w:val="right" w:leader="dot" w:pos="10065"/>
      </w:tabs>
      <w:spacing w:before="160" w:after="120"/>
    </w:pPr>
    <w:rPr>
      <w:rFonts w:cs="Arial"/>
      <w:b/>
      <w:bCs/>
      <w:iCs/>
      <w:noProof/>
      <w:sz w:val="24"/>
      <w:szCs w:val="24"/>
    </w:rPr>
  </w:style>
  <w:style w:type="paragraph" w:styleId="TOC2">
    <w:name w:val="toc 2"/>
    <w:basedOn w:val="Normal"/>
    <w:next w:val="Normal"/>
    <w:autoRedefine/>
    <w:uiPriority w:val="39"/>
    <w:unhideWhenUsed/>
    <w:rsid w:val="004C6599"/>
    <w:pPr>
      <w:tabs>
        <w:tab w:val="left" w:pos="1418"/>
        <w:tab w:val="right" w:leader="dot" w:pos="10065"/>
      </w:tabs>
      <w:spacing w:after="120"/>
      <w:ind w:left="1418" w:right="1415" w:hanging="709"/>
    </w:pPr>
    <w:rPr>
      <w:rFonts w:cs="Arial"/>
      <w:noProof/>
      <w:sz w:val="22"/>
    </w:rPr>
  </w:style>
  <w:style w:type="character" w:styleId="Hyperlink">
    <w:name w:val="Hyperlink"/>
    <w:basedOn w:val="DefaultParagraphFont"/>
    <w:uiPriority w:val="99"/>
    <w:unhideWhenUsed/>
    <w:rsid w:val="000C71DC"/>
    <w:rPr>
      <w:color w:val="0563C1" w:themeColor="hyperlink"/>
      <w:u w:val="single"/>
    </w:rPr>
  </w:style>
  <w:style w:type="table" w:styleId="TableGrid">
    <w:name w:val="Table Grid"/>
    <w:basedOn w:val="TableNormal"/>
    <w:uiPriority w:val="39"/>
    <w:rsid w:val="007A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56EB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C6599"/>
    <w:pPr>
      <w:tabs>
        <w:tab w:val="right" w:leader="dot" w:pos="10065"/>
      </w:tabs>
      <w:spacing w:after="60"/>
      <w:ind w:left="1418"/>
    </w:pPr>
    <w:rPr>
      <w:rFonts w:cs="Arial"/>
      <w:iCs/>
      <w:noProof/>
      <w:sz w:val="21"/>
      <w:szCs w:val="20"/>
    </w:rPr>
  </w:style>
  <w:style w:type="paragraph" w:customStyle="1" w:styleId="Bullet">
    <w:name w:val="Bullet"/>
    <w:qFormat/>
    <w:rsid w:val="007A66D3"/>
    <w:pPr>
      <w:numPr>
        <w:numId w:val="2"/>
      </w:numPr>
      <w:spacing w:after="120" w:line="240" w:lineRule="auto"/>
      <w:contextualSpacing/>
    </w:pPr>
    <w:rPr>
      <w:rFonts w:eastAsia="Times New Roman" w:cs="Times New Roman"/>
      <w:sz w:val="22"/>
      <w:szCs w:val="20"/>
    </w:rPr>
  </w:style>
  <w:style w:type="paragraph" w:customStyle="1" w:styleId="Bullet10">
    <w:name w:val="Bullet1"/>
    <w:qFormat/>
    <w:rsid w:val="007A66D3"/>
    <w:pPr>
      <w:numPr>
        <w:numId w:val="3"/>
      </w:numPr>
      <w:spacing w:after="120" w:line="240" w:lineRule="auto"/>
      <w:contextualSpacing/>
    </w:pPr>
    <w:rPr>
      <w:rFonts w:eastAsia="Times New Roman" w:cs="Times New Roman"/>
      <w:sz w:val="22"/>
      <w:szCs w:val="20"/>
    </w:rPr>
  </w:style>
  <w:style w:type="paragraph" w:styleId="TOC5">
    <w:name w:val="toc 5"/>
    <w:basedOn w:val="Normal"/>
    <w:next w:val="Normal"/>
    <w:autoRedefine/>
    <w:uiPriority w:val="39"/>
    <w:unhideWhenUsed/>
    <w:rsid w:val="001E17CE"/>
    <w:pPr>
      <w:spacing w:after="0"/>
      <w:ind w:left="800"/>
    </w:pPr>
    <w:rPr>
      <w:rFonts w:asciiTheme="minorHAnsi" w:hAnsiTheme="minorHAnsi"/>
      <w:szCs w:val="20"/>
    </w:rPr>
  </w:style>
  <w:style w:type="paragraph" w:styleId="TOC4">
    <w:name w:val="toc 4"/>
    <w:basedOn w:val="Normal"/>
    <w:next w:val="Normal"/>
    <w:autoRedefine/>
    <w:uiPriority w:val="39"/>
    <w:unhideWhenUsed/>
    <w:rsid w:val="001E17CE"/>
    <w:pPr>
      <w:spacing w:after="0"/>
      <w:ind w:left="600"/>
    </w:pPr>
    <w:rPr>
      <w:rFonts w:asciiTheme="minorHAnsi" w:hAnsiTheme="minorHAnsi"/>
      <w:szCs w:val="20"/>
    </w:rPr>
  </w:style>
  <w:style w:type="paragraph" w:styleId="TOC6">
    <w:name w:val="toc 6"/>
    <w:basedOn w:val="Normal"/>
    <w:next w:val="Normal"/>
    <w:autoRedefine/>
    <w:uiPriority w:val="39"/>
    <w:unhideWhenUsed/>
    <w:rsid w:val="001E17CE"/>
    <w:pPr>
      <w:spacing w:after="0"/>
      <w:ind w:left="1000"/>
    </w:pPr>
    <w:rPr>
      <w:rFonts w:asciiTheme="minorHAnsi" w:hAnsiTheme="minorHAnsi"/>
      <w:szCs w:val="20"/>
    </w:rPr>
  </w:style>
  <w:style w:type="paragraph" w:styleId="TOC7">
    <w:name w:val="toc 7"/>
    <w:basedOn w:val="Normal"/>
    <w:next w:val="Normal"/>
    <w:autoRedefine/>
    <w:uiPriority w:val="39"/>
    <w:unhideWhenUsed/>
    <w:rsid w:val="001E17CE"/>
    <w:pPr>
      <w:spacing w:after="0"/>
      <w:ind w:left="1200"/>
    </w:pPr>
    <w:rPr>
      <w:rFonts w:asciiTheme="minorHAnsi" w:hAnsiTheme="minorHAnsi"/>
      <w:szCs w:val="20"/>
    </w:rPr>
  </w:style>
  <w:style w:type="paragraph" w:styleId="TOC8">
    <w:name w:val="toc 8"/>
    <w:basedOn w:val="Normal"/>
    <w:next w:val="Normal"/>
    <w:autoRedefine/>
    <w:uiPriority w:val="39"/>
    <w:unhideWhenUsed/>
    <w:rsid w:val="001E17CE"/>
    <w:pPr>
      <w:spacing w:after="0"/>
      <w:ind w:left="1400"/>
    </w:pPr>
    <w:rPr>
      <w:rFonts w:asciiTheme="minorHAnsi" w:hAnsiTheme="minorHAnsi"/>
      <w:szCs w:val="20"/>
    </w:rPr>
  </w:style>
  <w:style w:type="paragraph" w:styleId="TOC9">
    <w:name w:val="toc 9"/>
    <w:basedOn w:val="Normal"/>
    <w:next w:val="Normal"/>
    <w:autoRedefine/>
    <w:uiPriority w:val="39"/>
    <w:unhideWhenUsed/>
    <w:rsid w:val="001E17CE"/>
    <w:pPr>
      <w:spacing w:after="0"/>
      <w:ind w:left="1600"/>
    </w:pPr>
    <w:rPr>
      <w:rFonts w:asciiTheme="minorHAnsi" w:hAnsiTheme="minorHAnsi"/>
      <w:szCs w:val="20"/>
    </w:rPr>
  </w:style>
  <w:style w:type="paragraph" w:customStyle="1" w:styleId="ExecutiveSummaryBullet">
    <w:name w:val="Executive Summary Bullet"/>
    <w:basedOn w:val="Normal"/>
    <w:qFormat/>
    <w:rsid w:val="0035704B"/>
    <w:pPr>
      <w:keepLines/>
      <w:numPr>
        <w:numId w:val="4"/>
      </w:numPr>
      <w:spacing w:after="120" w:line="240" w:lineRule="auto"/>
      <w:ind w:left="360"/>
      <w:contextualSpacing/>
    </w:pPr>
    <w:rPr>
      <w:rFonts w:eastAsia="Times New Roman" w:cs="Times New Roman"/>
      <w:sz w:val="22"/>
      <w:szCs w:val="24"/>
    </w:rPr>
  </w:style>
  <w:style w:type="paragraph" w:customStyle="1" w:styleId="NormalBoldCaps">
    <w:name w:val="NormalBoldCaps"/>
    <w:basedOn w:val="Normal"/>
    <w:rsid w:val="001738FC"/>
    <w:pPr>
      <w:spacing w:after="0" w:line="240" w:lineRule="auto"/>
    </w:pPr>
    <w:rPr>
      <w:rFonts w:eastAsia="Times New Roman" w:cs="Times New Roman"/>
      <w:b/>
      <w:bCs/>
      <w:caps/>
      <w:sz w:val="22"/>
      <w:szCs w:val="24"/>
    </w:rPr>
  </w:style>
  <w:style w:type="paragraph" w:styleId="NormalWeb">
    <w:name w:val="Normal (Web)"/>
    <w:basedOn w:val="Normal"/>
    <w:uiPriority w:val="99"/>
    <w:unhideWhenUsed/>
    <w:rsid w:val="002C45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nhideWhenUsed/>
    <w:rsid w:val="002C4570"/>
    <w:pPr>
      <w:spacing w:after="0" w:line="240" w:lineRule="auto"/>
    </w:pPr>
    <w:rPr>
      <w:rFonts w:ascii="Times" w:eastAsia="Times New Roman" w:hAnsi="Times" w:cs="Times New Roman"/>
      <w:i/>
      <w:sz w:val="24"/>
      <w:szCs w:val="20"/>
      <w:lang w:eastAsia="en-AU"/>
    </w:rPr>
  </w:style>
  <w:style w:type="character" w:customStyle="1" w:styleId="BodyTextChar">
    <w:name w:val="Body Text Char"/>
    <w:basedOn w:val="DefaultParagraphFont"/>
    <w:link w:val="BodyText"/>
    <w:rsid w:val="002C4570"/>
    <w:rPr>
      <w:rFonts w:ascii="Times" w:eastAsia="Times New Roman" w:hAnsi="Times" w:cs="Times New Roman"/>
      <w:i/>
      <w:sz w:val="24"/>
      <w:szCs w:val="20"/>
      <w:lang w:eastAsia="en-AU"/>
    </w:rPr>
  </w:style>
  <w:style w:type="paragraph" w:styleId="FootnoteText">
    <w:name w:val="footnote text"/>
    <w:basedOn w:val="Normal"/>
    <w:link w:val="FootnoteTextChar"/>
    <w:uiPriority w:val="99"/>
    <w:semiHidden/>
    <w:unhideWhenUsed/>
    <w:rsid w:val="003724D8"/>
    <w:pPr>
      <w:spacing w:after="0" w:line="240" w:lineRule="auto"/>
    </w:pPr>
    <w:rPr>
      <w:szCs w:val="20"/>
    </w:rPr>
  </w:style>
  <w:style w:type="character" w:customStyle="1" w:styleId="FootnoteTextChar">
    <w:name w:val="Footnote Text Char"/>
    <w:basedOn w:val="DefaultParagraphFont"/>
    <w:link w:val="FootnoteText"/>
    <w:uiPriority w:val="99"/>
    <w:semiHidden/>
    <w:rsid w:val="003724D8"/>
    <w:rPr>
      <w:szCs w:val="20"/>
    </w:rPr>
  </w:style>
  <w:style w:type="character" w:styleId="FootnoteReference">
    <w:name w:val="footnote reference"/>
    <w:basedOn w:val="DefaultParagraphFont"/>
    <w:uiPriority w:val="99"/>
    <w:semiHidden/>
    <w:unhideWhenUsed/>
    <w:rsid w:val="003724D8"/>
    <w:rPr>
      <w:vertAlign w:val="superscript"/>
    </w:rPr>
  </w:style>
  <w:style w:type="character" w:customStyle="1" w:styleId="ListParagraphChar">
    <w:name w:val="List Paragraph Char"/>
    <w:basedOn w:val="DefaultParagraphFont"/>
    <w:link w:val="ListParagraph"/>
    <w:uiPriority w:val="34"/>
    <w:locked/>
    <w:rsid w:val="00BF78D0"/>
  </w:style>
  <w:style w:type="character" w:styleId="Strong">
    <w:name w:val="Strong"/>
    <w:basedOn w:val="DefaultParagraphFont"/>
    <w:uiPriority w:val="22"/>
    <w:qFormat/>
    <w:rsid w:val="00E8155A"/>
    <w:rPr>
      <w:b/>
      <w:bCs/>
    </w:rPr>
  </w:style>
  <w:style w:type="paragraph" w:customStyle="1" w:styleId="SignOff">
    <w:name w:val="SignOff"/>
    <w:basedOn w:val="Normal"/>
    <w:qFormat/>
    <w:rsid w:val="00543809"/>
    <w:pPr>
      <w:spacing w:after="0" w:line="218" w:lineRule="auto"/>
      <w:ind w:left="3770"/>
    </w:pPr>
    <w:rPr>
      <w:rFonts w:asciiTheme="majorHAnsi" w:eastAsia="Times New Roman" w:hAnsiTheme="majorHAnsi" w:cs="Times New Roman"/>
      <w:color w:val="000000" w:themeColor="text1"/>
      <w:kern w:val="21"/>
      <w:sz w:val="26"/>
      <w:szCs w:val="26"/>
      <w:lang w:eastAsia="en-AU"/>
    </w:rPr>
  </w:style>
  <w:style w:type="paragraph" w:styleId="Title">
    <w:name w:val="Title"/>
    <w:basedOn w:val="Normal"/>
    <w:next w:val="Normal"/>
    <w:link w:val="TitleChar"/>
    <w:rsid w:val="00543809"/>
    <w:pPr>
      <w:spacing w:after="0" w:line="960" w:lineRule="exact"/>
    </w:pPr>
    <w:rPr>
      <w:rFonts w:ascii="Galano Grotesque ExtraBold" w:eastAsiaTheme="majorEastAsia" w:hAnsi="Galano Grotesque ExtraBold" w:cstheme="majorBidi"/>
      <w:color w:val="FFFFFF" w:themeColor="background1"/>
      <w:kern w:val="28"/>
      <w:sz w:val="80"/>
      <w:szCs w:val="56"/>
      <w:lang w:eastAsia="en-AU"/>
    </w:rPr>
  </w:style>
  <w:style w:type="character" w:customStyle="1" w:styleId="TitleChar">
    <w:name w:val="Title Char"/>
    <w:basedOn w:val="DefaultParagraphFont"/>
    <w:link w:val="Title"/>
    <w:rsid w:val="00543809"/>
    <w:rPr>
      <w:rFonts w:ascii="Galano Grotesque ExtraBold" w:eastAsiaTheme="majorEastAsia" w:hAnsi="Galano Grotesque ExtraBold" w:cstheme="majorBidi"/>
      <w:color w:val="FFFFFF" w:themeColor="background1"/>
      <w:kern w:val="28"/>
      <w:sz w:val="80"/>
      <w:szCs w:val="56"/>
      <w:lang w:eastAsia="en-AU"/>
    </w:rPr>
  </w:style>
  <w:style w:type="paragraph" w:styleId="Subtitle">
    <w:name w:val="Subtitle"/>
    <w:basedOn w:val="Normal"/>
    <w:next w:val="Normal"/>
    <w:link w:val="SubtitleChar"/>
    <w:rsid w:val="00543809"/>
    <w:pPr>
      <w:numPr>
        <w:ilvl w:val="1"/>
      </w:numPr>
      <w:spacing w:before="50" w:after="0" w:line="560" w:lineRule="exact"/>
      <w:contextualSpacing/>
    </w:pPr>
    <w:rPr>
      <w:rFonts w:ascii="Galano Grotesque ExtraBold" w:eastAsiaTheme="minorEastAsia" w:hAnsi="Galano Grotesque ExtraBold"/>
      <w:color w:val="FFFFFF" w:themeColor="background1"/>
      <w:kern w:val="21"/>
      <w:sz w:val="44"/>
      <w:lang w:eastAsia="en-AU"/>
    </w:rPr>
  </w:style>
  <w:style w:type="character" w:customStyle="1" w:styleId="SubtitleChar">
    <w:name w:val="Subtitle Char"/>
    <w:basedOn w:val="DefaultParagraphFont"/>
    <w:link w:val="Subtitle"/>
    <w:rsid w:val="00543809"/>
    <w:rPr>
      <w:rFonts w:ascii="Galano Grotesque ExtraBold" w:eastAsiaTheme="minorEastAsia" w:hAnsi="Galano Grotesque ExtraBold"/>
      <w:color w:val="FFFFFF" w:themeColor="background1"/>
      <w:kern w:val="21"/>
      <w:sz w:val="44"/>
      <w:lang w:eastAsia="en-AU"/>
    </w:rPr>
  </w:style>
  <w:style w:type="character" w:customStyle="1" w:styleId="Heading7Char">
    <w:name w:val="Heading 7 Char"/>
    <w:basedOn w:val="DefaultParagraphFont"/>
    <w:link w:val="Heading7"/>
    <w:rsid w:val="00891E1A"/>
    <w:rPr>
      <w:rFonts w:eastAsia="Times New Roman" w:cs="Arial"/>
      <w:b/>
      <w:bCs/>
      <w:sz w:val="22"/>
      <w:szCs w:val="24"/>
      <w:u w:val="single"/>
    </w:rPr>
  </w:style>
  <w:style w:type="character" w:customStyle="1" w:styleId="Heading9Char">
    <w:name w:val="Heading 9 Char"/>
    <w:basedOn w:val="DefaultParagraphFont"/>
    <w:link w:val="Heading9"/>
    <w:rsid w:val="00891E1A"/>
    <w:rPr>
      <w:rFonts w:eastAsia="Times New Roman" w:cs="Arial"/>
      <w:b/>
      <w:bCs/>
      <w:sz w:val="22"/>
      <w:szCs w:val="24"/>
      <w:u w:val="single"/>
    </w:rPr>
  </w:style>
  <w:style w:type="paragraph" w:customStyle="1" w:styleId="RecommendationText">
    <w:name w:val="Recommendation Text"/>
    <w:qFormat/>
    <w:rsid w:val="00891E1A"/>
    <w:pPr>
      <w:keepLines/>
      <w:widowControl w:val="0"/>
      <w:numPr>
        <w:numId w:val="5"/>
      </w:numPr>
      <w:spacing w:after="120" w:line="240" w:lineRule="auto"/>
    </w:pPr>
    <w:rPr>
      <w:rFonts w:eastAsia="Times New Roman" w:cs="Times New Roman"/>
      <w:sz w:val="22"/>
      <w:lang w:val="en-US"/>
    </w:rPr>
  </w:style>
  <w:style w:type="paragraph" w:customStyle="1" w:styleId="RecommendationText1">
    <w:name w:val="Recommendation Text 1"/>
    <w:basedOn w:val="RecommendationText"/>
    <w:qFormat/>
    <w:rsid w:val="00891E1A"/>
    <w:pPr>
      <w:numPr>
        <w:ilvl w:val="1"/>
      </w:numPr>
    </w:pPr>
  </w:style>
  <w:style w:type="paragraph" w:customStyle="1" w:styleId="RecommendationText2">
    <w:name w:val="Recommendation Text 2"/>
    <w:basedOn w:val="RecommendationText"/>
    <w:qFormat/>
    <w:rsid w:val="00891E1A"/>
    <w:pPr>
      <w:numPr>
        <w:ilvl w:val="2"/>
      </w:numPr>
    </w:pPr>
  </w:style>
  <w:style w:type="paragraph" w:customStyle="1" w:styleId="RecommendationText3">
    <w:name w:val="Recommendation Text 3"/>
    <w:basedOn w:val="RecommendationText"/>
    <w:qFormat/>
    <w:rsid w:val="00891E1A"/>
    <w:pPr>
      <w:numPr>
        <w:ilvl w:val="3"/>
      </w:numPr>
    </w:pPr>
  </w:style>
  <w:style w:type="paragraph" w:customStyle="1" w:styleId="RecommendationText4">
    <w:name w:val="Recommendation Text 4"/>
    <w:basedOn w:val="RecommendationText"/>
    <w:qFormat/>
    <w:rsid w:val="00891E1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891E1A"/>
    <w:pPr>
      <w:numPr>
        <w:ilvl w:val="5"/>
      </w:numPr>
      <w:tabs>
        <w:tab w:val="left" w:pos="567"/>
        <w:tab w:val="left" w:pos="1134"/>
      </w:tabs>
    </w:pPr>
    <w:rPr>
      <w:rFonts w:cs="Arial"/>
      <w:szCs w:val="20"/>
      <w:lang w:val="en-AU"/>
    </w:rPr>
  </w:style>
  <w:style w:type="paragraph" w:customStyle="1" w:styleId="Bullet1">
    <w:name w:val="Bullet 1"/>
    <w:basedOn w:val="Normal"/>
    <w:uiPriority w:val="99"/>
    <w:rsid w:val="002A318D"/>
    <w:pPr>
      <w:numPr>
        <w:numId w:val="7"/>
      </w:numPr>
      <w:suppressAutoHyphens/>
      <w:autoSpaceDE w:val="0"/>
      <w:autoSpaceDN w:val="0"/>
      <w:adjustRightInd w:val="0"/>
      <w:spacing w:after="200" w:line="240" w:lineRule="auto"/>
    </w:pPr>
    <w:rPr>
      <w:rFonts w:eastAsia="Times New Roman" w:cs="Arial"/>
      <w:color w:val="000000"/>
      <w:szCs w:val="20"/>
      <w:lang w:val="en-GB" w:eastAsia="en-AU"/>
    </w:rPr>
  </w:style>
  <w:style w:type="character" w:customStyle="1" w:styleId="Heading5Char">
    <w:name w:val="Heading 5 Char"/>
    <w:basedOn w:val="DefaultParagraphFont"/>
    <w:link w:val="Heading5"/>
    <w:uiPriority w:val="9"/>
    <w:semiHidden/>
    <w:rsid w:val="00C45B1C"/>
    <w:rPr>
      <w:rFonts w:asciiTheme="majorHAnsi" w:eastAsiaTheme="majorEastAsia" w:hAnsiTheme="majorHAnsi" w:cstheme="majorBidi"/>
      <w:color w:val="2F5496" w:themeColor="accent1" w:themeShade="BF"/>
    </w:rPr>
  </w:style>
  <w:style w:type="paragraph" w:styleId="Quote">
    <w:name w:val="Quote"/>
    <w:basedOn w:val="Normal"/>
    <w:next w:val="Normal"/>
    <w:link w:val="QuoteChar"/>
    <w:uiPriority w:val="29"/>
    <w:qFormat/>
    <w:rsid w:val="00C45B1C"/>
    <w:pPr>
      <w:keepLines/>
      <w:tabs>
        <w:tab w:val="left" w:pos="1854"/>
      </w:tabs>
      <w:spacing w:after="120" w:line="240" w:lineRule="auto"/>
      <w:ind w:left="1287" w:right="567"/>
    </w:pPr>
    <w:rPr>
      <w:rFonts w:eastAsia="Times New Roman" w:cs="Times New Roman"/>
      <w:i/>
      <w:iCs/>
      <w:color w:val="000000"/>
      <w:sz w:val="22"/>
      <w:szCs w:val="24"/>
    </w:rPr>
  </w:style>
  <w:style w:type="character" w:customStyle="1" w:styleId="QuoteChar">
    <w:name w:val="Quote Char"/>
    <w:basedOn w:val="DefaultParagraphFont"/>
    <w:link w:val="Quote"/>
    <w:uiPriority w:val="29"/>
    <w:rsid w:val="00C45B1C"/>
    <w:rPr>
      <w:rFonts w:eastAsia="Times New Roman" w:cs="Times New Roman"/>
      <w:i/>
      <w:iCs/>
      <w:color w:val="000000"/>
      <w:sz w:val="22"/>
      <w:szCs w:val="24"/>
    </w:rPr>
  </w:style>
  <w:style w:type="paragraph" w:customStyle="1" w:styleId="Bullet3">
    <w:name w:val="Bullet3"/>
    <w:basedOn w:val="Normal"/>
    <w:qFormat/>
    <w:rsid w:val="00B53A46"/>
    <w:pPr>
      <w:numPr>
        <w:numId w:val="8"/>
      </w:numPr>
      <w:spacing w:before="240" w:after="0" w:line="240" w:lineRule="auto"/>
    </w:pPr>
    <w:rPr>
      <w:rFonts w:eastAsia="Times New Roman" w:cs="Times New Roman"/>
      <w:szCs w:val="20"/>
    </w:rPr>
  </w:style>
  <w:style w:type="paragraph" w:customStyle="1" w:styleId="Numpara1">
    <w:name w:val="Numpara1"/>
    <w:basedOn w:val="Normal"/>
    <w:qFormat/>
    <w:rsid w:val="00B53A46"/>
    <w:pPr>
      <w:numPr>
        <w:numId w:val="9"/>
      </w:numPr>
      <w:spacing w:before="240" w:after="0" w:line="240" w:lineRule="auto"/>
    </w:pPr>
    <w:rPr>
      <w:rFonts w:eastAsia="Times New Roman" w:cs="Arial"/>
    </w:rPr>
  </w:style>
  <w:style w:type="paragraph" w:customStyle="1" w:styleId="Numpara2">
    <w:name w:val="Numpara2"/>
    <w:basedOn w:val="Normal"/>
    <w:qFormat/>
    <w:rsid w:val="00B53A46"/>
    <w:pPr>
      <w:numPr>
        <w:ilvl w:val="1"/>
        <w:numId w:val="9"/>
      </w:numPr>
      <w:spacing w:before="120" w:after="0" w:line="360" w:lineRule="auto"/>
      <w:jc w:val="both"/>
    </w:pPr>
    <w:rPr>
      <w:rFonts w:eastAsia="Times New Roman" w:cs="Arial"/>
      <w:sz w:val="22"/>
      <w:szCs w:val="20"/>
    </w:rPr>
  </w:style>
  <w:style w:type="paragraph" w:customStyle="1" w:styleId="Numpara3">
    <w:name w:val="Numpara3"/>
    <w:basedOn w:val="Normal"/>
    <w:qFormat/>
    <w:rsid w:val="00B53A46"/>
    <w:pPr>
      <w:numPr>
        <w:ilvl w:val="2"/>
        <w:numId w:val="9"/>
      </w:numPr>
      <w:spacing w:before="240" w:after="0" w:line="240" w:lineRule="auto"/>
    </w:pPr>
    <w:rPr>
      <w:rFonts w:eastAsia="Times New Roman" w:cs="Arial"/>
    </w:rPr>
  </w:style>
  <w:style w:type="paragraph" w:customStyle="1" w:styleId="Numpara4">
    <w:name w:val="Numpara4"/>
    <w:basedOn w:val="Normal"/>
    <w:qFormat/>
    <w:rsid w:val="00B53A46"/>
    <w:pPr>
      <w:numPr>
        <w:ilvl w:val="3"/>
        <w:numId w:val="9"/>
      </w:numPr>
      <w:spacing w:before="240" w:after="0" w:line="240" w:lineRule="auto"/>
    </w:pPr>
    <w:rPr>
      <w:rFonts w:eastAsia="Times New Roman" w:cs="Arial"/>
    </w:rPr>
  </w:style>
  <w:style w:type="paragraph" w:customStyle="1" w:styleId="Default">
    <w:name w:val="Default"/>
    <w:rsid w:val="00D735BB"/>
    <w:pPr>
      <w:autoSpaceDE w:val="0"/>
      <w:autoSpaceDN w:val="0"/>
      <w:adjustRightInd w:val="0"/>
      <w:spacing w:after="0" w:line="240" w:lineRule="auto"/>
    </w:pPr>
    <w:rPr>
      <w:rFonts w:cs="Arial"/>
      <w:color w:val="000000"/>
      <w:sz w:val="24"/>
      <w:szCs w:val="24"/>
    </w:rPr>
  </w:style>
  <w:style w:type="character" w:customStyle="1" w:styleId="MaintextChar">
    <w:name w:val="Main text Char"/>
    <w:basedOn w:val="DefaultParagraphFont"/>
    <w:link w:val="Maintext"/>
    <w:locked/>
    <w:rsid w:val="00776B42"/>
    <w:rPr>
      <w:sz w:val="21"/>
      <w:szCs w:val="21"/>
    </w:rPr>
  </w:style>
  <w:style w:type="paragraph" w:customStyle="1" w:styleId="Maintext">
    <w:name w:val="Main text"/>
    <w:basedOn w:val="ListParagraph"/>
    <w:link w:val="MaintextChar"/>
    <w:qFormat/>
    <w:rsid w:val="00776B42"/>
    <w:pPr>
      <w:spacing w:after="120" w:line="360" w:lineRule="auto"/>
      <w:ind w:left="567" w:right="140" w:hanging="567"/>
      <w:contextualSpacing w:val="0"/>
      <w:jc w:val="both"/>
    </w:pPr>
    <w:rPr>
      <w:sz w:val="21"/>
      <w:szCs w:val="21"/>
    </w:rPr>
  </w:style>
  <w:style w:type="character" w:styleId="IntenseEmphasis">
    <w:name w:val="Intense Emphasis"/>
    <w:basedOn w:val="DefaultParagraphFont"/>
    <w:uiPriority w:val="21"/>
    <w:qFormat/>
    <w:rsid w:val="00C23BC9"/>
    <w:rPr>
      <w:i/>
      <w:iCs/>
      <w:color w:val="4472C4" w:themeColor="accent1"/>
    </w:rPr>
  </w:style>
  <w:style w:type="paragraph" w:customStyle="1" w:styleId="Tableheading">
    <w:name w:val="Table heading"/>
    <w:basedOn w:val="Normal"/>
    <w:link w:val="TableheadingChar"/>
    <w:qFormat/>
    <w:rsid w:val="00C23BC9"/>
    <w:pPr>
      <w:spacing w:before="60" w:after="60" w:line="240" w:lineRule="auto"/>
    </w:pPr>
    <w:rPr>
      <w:rFonts w:asciiTheme="minorHAnsi" w:hAnsiTheme="minorHAnsi"/>
      <w:b/>
      <w:color w:val="FFFFFF" w:themeColor="background1"/>
      <w:sz w:val="22"/>
    </w:rPr>
  </w:style>
  <w:style w:type="character" w:customStyle="1" w:styleId="TableheadingChar">
    <w:name w:val="Table heading Char"/>
    <w:basedOn w:val="DefaultParagraphFont"/>
    <w:link w:val="Tableheading"/>
    <w:rsid w:val="00C23BC9"/>
    <w:rPr>
      <w:rFonts w:asciiTheme="minorHAnsi" w:hAnsiTheme="minorHAnsi"/>
      <w:b/>
      <w:color w:val="FFFFFF" w:themeColor="background1"/>
      <w:sz w:val="22"/>
    </w:rPr>
  </w:style>
  <w:style w:type="table" w:customStyle="1" w:styleId="TableGrid1">
    <w:name w:val="Table Grid1"/>
    <w:basedOn w:val="TableNormal"/>
    <w:next w:val="TableGrid"/>
    <w:uiPriority w:val="39"/>
    <w:rsid w:val="005D14C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1"/>
    <w:basedOn w:val="Default"/>
    <w:next w:val="Default"/>
    <w:rsid w:val="006D277F"/>
    <w:pPr>
      <w:widowControl w:val="0"/>
      <w:spacing w:after="360"/>
    </w:pPr>
    <w:rPr>
      <w:rFonts w:eastAsia="Times New Roman" w:cs="Times New Roman"/>
      <w:color w:val="auto"/>
      <w:lang w:eastAsia="en-AU"/>
    </w:rPr>
  </w:style>
  <w:style w:type="character" w:styleId="FollowedHyperlink">
    <w:name w:val="FollowedHyperlink"/>
    <w:basedOn w:val="DefaultParagraphFont"/>
    <w:uiPriority w:val="99"/>
    <w:semiHidden/>
    <w:unhideWhenUsed/>
    <w:rsid w:val="00D82991"/>
    <w:rPr>
      <w:color w:val="954F72" w:themeColor="followedHyperlink"/>
      <w:u w:val="single"/>
    </w:rPr>
  </w:style>
  <w:style w:type="table" w:customStyle="1" w:styleId="TableGrid2">
    <w:name w:val="Table Grid2"/>
    <w:basedOn w:val="TableNormal"/>
    <w:next w:val="TableGrid"/>
    <w:rsid w:val="0043383C"/>
    <w:pPr>
      <w:spacing w:after="0" w:line="240" w:lineRule="auto"/>
    </w:pPr>
    <w:rPr>
      <w:rFonts w:ascii="Times New (W1)" w:eastAsia="Times New Roman" w:hAnsi="Times New (W1)"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Subtitle"/>
    <w:rsid w:val="00386153"/>
    <w:pPr>
      <w:numPr>
        <w:ilvl w:val="0"/>
      </w:numPr>
      <w:spacing w:before="240" w:after="120" w:line="240" w:lineRule="auto"/>
      <w:contextualSpacing w:val="0"/>
    </w:pPr>
    <w:rPr>
      <w:rFonts w:ascii="Arial" w:eastAsia="Times New Roman" w:hAnsi="Arial" w:cs="Arial"/>
      <w:b/>
      <w:bCs/>
      <w:caps/>
      <w:color w:val="00008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7643">
      <w:bodyDiv w:val="1"/>
      <w:marLeft w:val="0"/>
      <w:marRight w:val="0"/>
      <w:marTop w:val="0"/>
      <w:marBottom w:val="0"/>
      <w:divBdr>
        <w:top w:val="none" w:sz="0" w:space="0" w:color="auto"/>
        <w:left w:val="none" w:sz="0" w:space="0" w:color="auto"/>
        <w:bottom w:val="none" w:sz="0" w:space="0" w:color="auto"/>
        <w:right w:val="none" w:sz="0" w:space="0" w:color="auto"/>
      </w:divBdr>
    </w:div>
    <w:div w:id="52851179">
      <w:bodyDiv w:val="1"/>
      <w:marLeft w:val="0"/>
      <w:marRight w:val="0"/>
      <w:marTop w:val="0"/>
      <w:marBottom w:val="0"/>
      <w:divBdr>
        <w:top w:val="none" w:sz="0" w:space="0" w:color="auto"/>
        <w:left w:val="none" w:sz="0" w:space="0" w:color="auto"/>
        <w:bottom w:val="none" w:sz="0" w:space="0" w:color="auto"/>
        <w:right w:val="none" w:sz="0" w:space="0" w:color="auto"/>
      </w:divBdr>
    </w:div>
    <w:div w:id="77286902">
      <w:bodyDiv w:val="1"/>
      <w:marLeft w:val="0"/>
      <w:marRight w:val="0"/>
      <w:marTop w:val="0"/>
      <w:marBottom w:val="0"/>
      <w:divBdr>
        <w:top w:val="none" w:sz="0" w:space="0" w:color="auto"/>
        <w:left w:val="none" w:sz="0" w:space="0" w:color="auto"/>
        <w:bottom w:val="none" w:sz="0" w:space="0" w:color="auto"/>
        <w:right w:val="none" w:sz="0" w:space="0" w:color="auto"/>
      </w:divBdr>
    </w:div>
    <w:div w:id="267278383">
      <w:bodyDiv w:val="1"/>
      <w:marLeft w:val="0"/>
      <w:marRight w:val="0"/>
      <w:marTop w:val="0"/>
      <w:marBottom w:val="0"/>
      <w:divBdr>
        <w:top w:val="none" w:sz="0" w:space="0" w:color="auto"/>
        <w:left w:val="none" w:sz="0" w:space="0" w:color="auto"/>
        <w:bottom w:val="none" w:sz="0" w:space="0" w:color="auto"/>
        <w:right w:val="none" w:sz="0" w:space="0" w:color="auto"/>
      </w:divBdr>
    </w:div>
    <w:div w:id="272516633">
      <w:bodyDiv w:val="1"/>
      <w:marLeft w:val="0"/>
      <w:marRight w:val="0"/>
      <w:marTop w:val="0"/>
      <w:marBottom w:val="0"/>
      <w:divBdr>
        <w:top w:val="none" w:sz="0" w:space="0" w:color="auto"/>
        <w:left w:val="none" w:sz="0" w:space="0" w:color="auto"/>
        <w:bottom w:val="none" w:sz="0" w:space="0" w:color="auto"/>
        <w:right w:val="none" w:sz="0" w:space="0" w:color="auto"/>
      </w:divBdr>
    </w:div>
    <w:div w:id="359865662">
      <w:bodyDiv w:val="1"/>
      <w:marLeft w:val="0"/>
      <w:marRight w:val="0"/>
      <w:marTop w:val="0"/>
      <w:marBottom w:val="0"/>
      <w:divBdr>
        <w:top w:val="none" w:sz="0" w:space="0" w:color="auto"/>
        <w:left w:val="none" w:sz="0" w:space="0" w:color="auto"/>
        <w:bottom w:val="none" w:sz="0" w:space="0" w:color="auto"/>
        <w:right w:val="none" w:sz="0" w:space="0" w:color="auto"/>
      </w:divBdr>
    </w:div>
    <w:div w:id="478347890">
      <w:bodyDiv w:val="1"/>
      <w:marLeft w:val="0"/>
      <w:marRight w:val="0"/>
      <w:marTop w:val="0"/>
      <w:marBottom w:val="0"/>
      <w:divBdr>
        <w:top w:val="none" w:sz="0" w:space="0" w:color="auto"/>
        <w:left w:val="none" w:sz="0" w:space="0" w:color="auto"/>
        <w:bottom w:val="none" w:sz="0" w:space="0" w:color="auto"/>
        <w:right w:val="none" w:sz="0" w:space="0" w:color="auto"/>
      </w:divBdr>
    </w:div>
    <w:div w:id="526018726">
      <w:bodyDiv w:val="1"/>
      <w:marLeft w:val="0"/>
      <w:marRight w:val="0"/>
      <w:marTop w:val="0"/>
      <w:marBottom w:val="0"/>
      <w:divBdr>
        <w:top w:val="none" w:sz="0" w:space="0" w:color="auto"/>
        <w:left w:val="none" w:sz="0" w:space="0" w:color="auto"/>
        <w:bottom w:val="none" w:sz="0" w:space="0" w:color="auto"/>
        <w:right w:val="none" w:sz="0" w:space="0" w:color="auto"/>
      </w:divBdr>
    </w:div>
    <w:div w:id="667171220">
      <w:bodyDiv w:val="1"/>
      <w:marLeft w:val="0"/>
      <w:marRight w:val="0"/>
      <w:marTop w:val="0"/>
      <w:marBottom w:val="0"/>
      <w:divBdr>
        <w:top w:val="none" w:sz="0" w:space="0" w:color="auto"/>
        <w:left w:val="none" w:sz="0" w:space="0" w:color="auto"/>
        <w:bottom w:val="none" w:sz="0" w:space="0" w:color="auto"/>
        <w:right w:val="none" w:sz="0" w:space="0" w:color="auto"/>
      </w:divBdr>
    </w:div>
    <w:div w:id="668752538">
      <w:bodyDiv w:val="1"/>
      <w:marLeft w:val="0"/>
      <w:marRight w:val="0"/>
      <w:marTop w:val="0"/>
      <w:marBottom w:val="0"/>
      <w:divBdr>
        <w:top w:val="none" w:sz="0" w:space="0" w:color="auto"/>
        <w:left w:val="none" w:sz="0" w:space="0" w:color="auto"/>
        <w:bottom w:val="none" w:sz="0" w:space="0" w:color="auto"/>
        <w:right w:val="none" w:sz="0" w:space="0" w:color="auto"/>
      </w:divBdr>
    </w:div>
    <w:div w:id="682363497">
      <w:bodyDiv w:val="1"/>
      <w:marLeft w:val="0"/>
      <w:marRight w:val="0"/>
      <w:marTop w:val="0"/>
      <w:marBottom w:val="0"/>
      <w:divBdr>
        <w:top w:val="none" w:sz="0" w:space="0" w:color="auto"/>
        <w:left w:val="none" w:sz="0" w:space="0" w:color="auto"/>
        <w:bottom w:val="none" w:sz="0" w:space="0" w:color="auto"/>
        <w:right w:val="none" w:sz="0" w:space="0" w:color="auto"/>
      </w:divBdr>
    </w:div>
    <w:div w:id="730349171">
      <w:bodyDiv w:val="1"/>
      <w:marLeft w:val="0"/>
      <w:marRight w:val="0"/>
      <w:marTop w:val="0"/>
      <w:marBottom w:val="0"/>
      <w:divBdr>
        <w:top w:val="none" w:sz="0" w:space="0" w:color="auto"/>
        <w:left w:val="none" w:sz="0" w:space="0" w:color="auto"/>
        <w:bottom w:val="none" w:sz="0" w:space="0" w:color="auto"/>
        <w:right w:val="none" w:sz="0" w:space="0" w:color="auto"/>
      </w:divBdr>
    </w:div>
    <w:div w:id="764422075">
      <w:bodyDiv w:val="1"/>
      <w:marLeft w:val="0"/>
      <w:marRight w:val="0"/>
      <w:marTop w:val="0"/>
      <w:marBottom w:val="0"/>
      <w:divBdr>
        <w:top w:val="none" w:sz="0" w:space="0" w:color="auto"/>
        <w:left w:val="none" w:sz="0" w:space="0" w:color="auto"/>
        <w:bottom w:val="none" w:sz="0" w:space="0" w:color="auto"/>
        <w:right w:val="none" w:sz="0" w:space="0" w:color="auto"/>
      </w:divBdr>
    </w:div>
    <w:div w:id="790394251">
      <w:bodyDiv w:val="1"/>
      <w:marLeft w:val="0"/>
      <w:marRight w:val="0"/>
      <w:marTop w:val="0"/>
      <w:marBottom w:val="0"/>
      <w:divBdr>
        <w:top w:val="none" w:sz="0" w:space="0" w:color="auto"/>
        <w:left w:val="none" w:sz="0" w:space="0" w:color="auto"/>
        <w:bottom w:val="none" w:sz="0" w:space="0" w:color="auto"/>
        <w:right w:val="none" w:sz="0" w:space="0" w:color="auto"/>
      </w:divBdr>
    </w:div>
    <w:div w:id="891692939">
      <w:bodyDiv w:val="1"/>
      <w:marLeft w:val="0"/>
      <w:marRight w:val="0"/>
      <w:marTop w:val="0"/>
      <w:marBottom w:val="0"/>
      <w:divBdr>
        <w:top w:val="none" w:sz="0" w:space="0" w:color="auto"/>
        <w:left w:val="none" w:sz="0" w:space="0" w:color="auto"/>
        <w:bottom w:val="none" w:sz="0" w:space="0" w:color="auto"/>
        <w:right w:val="none" w:sz="0" w:space="0" w:color="auto"/>
      </w:divBdr>
    </w:div>
    <w:div w:id="928849495">
      <w:bodyDiv w:val="1"/>
      <w:marLeft w:val="0"/>
      <w:marRight w:val="0"/>
      <w:marTop w:val="0"/>
      <w:marBottom w:val="0"/>
      <w:divBdr>
        <w:top w:val="none" w:sz="0" w:space="0" w:color="auto"/>
        <w:left w:val="none" w:sz="0" w:space="0" w:color="auto"/>
        <w:bottom w:val="none" w:sz="0" w:space="0" w:color="auto"/>
        <w:right w:val="none" w:sz="0" w:space="0" w:color="auto"/>
      </w:divBdr>
    </w:div>
    <w:div w:id="937523667">
      <w:bodyDiv w:val="1"/>
      <w:marLeft w:val="0"/>
      <w:marRight w:val="0"/>
      <w:marTop w:val="0"/>
      <w:marBottom w:val="0"/>
      <w:divBdr>
        <w:top w:val="none" w:sz="0" w:space="0" w:color="auto"/>
        <w:left w:val="none" w:sz="0" w:space="0" w:color="auto"/>
        <w:bottom w:val="none" w:sz="0" w:space="0" w:color="auto"/>
        <w:right w:val="none" w:sz="0" w:space="0" w:color="auto"/>
      </w:divBdr>
    </w:div>
    <w:div w:id="1011953739">
      <w:bodyDiv w:val="1"/>
      <w:marLeft w:val="0"/>
      <w:marRight w:val="0"/>
      <w:marTop w:val="0"/>
      <w:marBottom w:val="0"/>
      <w:divBdr>
        <w:top w:val="none" w:sz="0" w:space="0" w:color="auto"/>
        <w:left w:val="none" w:sz="0" w:space="0" w:color="auto"/>
        <w:bottom w:val="none" w:sz="0" w:space="0" w:color="auto"/>
        <w:right w:val="none" w:sz="0" w:space="0" w:color="auto"/>
      </w:divBdr>
    </w:div>
    <w:div w:id="1064914615">
      <w:bodyDiv w:val="1"/>
      <w:marLeft w:val="0"/>
      <w:marRight w:val="0"/>
      <w:marTop w:val="0"/>
      <w:marBottom w:val="0"/>
      <w:divBdr>
        <w:top w:val="none" w:sz="0" w:space="0" w:color="auto"/>
        <w:left w:val="none" w:sz="0" w:space="0" w:color="auto"/>
        <w:bottom w:val="none" w:sz="0" w:space="0" w:color="auto"/>
        <w:right w:val="none" w:sz="0" w:space="0" w:color="auto"/>
      </w:divBdr>
    </w:div>
    <w:div w:id="1524704296">
      <w:bodyDiv w:val="1"/>
      <w:marLeft w:val="0"/>
      <w:marRight w:val="0"/>
      <w:marTop w:val="0"/>
      <w:marBottom w:val="0"/>
      <w:divBdr>
        <w:top w:val="none" w:sz="0" w:space="0" w:color="auto"/>
        <w:left w:val="none" w:sz="0" w:space="0" w:color="auto"/>
        <w:bottom w:val="none" w:sz="0" w:space="0" w:color="auto"/>
        <w:right w:val="none" w:sz="0" w:space="0" w:color="auto"/>
      </w:divBdr>
    </w:div>
    <w:div w:id="1824663028">
      <w:bodyDiv w:val="1"/>
      <w:marLeft w:val="0"/>
      <w:marRight w:val="0"/>
      <w:marTop w:val="0"/>
      <w:marBottom w:val="0"/>
      <w:divBdr>
        <w:top w:val="none" w:sz="0" w:space="0" w:color="auto"/>
        <w:left w:val="none" w:sz="0" w:space="0" w:color="auto"/>
        <w:bottom w:val="none" w:sz="0" w:space="0" w:color="auto"/>
        <w:right w:val="none" w:sz="0" w:space="0" w:color="auto"/>
      </w:divBdr>
    </w:div>
    <w:div w:id="19704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DDA9-7BF5-491F-9A72-5D0D6468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3260</Words>
  <Characters>17865</Characters>
  <Application>Microsoft Office Word</Application>
  <DocSecurity>0</DocSecurity>
  <Lines>319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Schirripa</dc:creator>
  <cp:keywords/>
  <dc:description/>
  <cp:lastModifiedBy>Nia Kolokas</cp:lastModifiedBy>
  <cp:revision>7</cp:revision>
  <cp:lastPrinted>2022-03-03T00:07:00Z</cp:lastPrinted>
  <dcterms:created xsi:type="dcterms:W3CDTF">2022-03-02T22:40:00Z</dcterms:created>
  <dcterms:modified xsi:type="dcterms:W3CDTF">2022-03-07T02:46:00Z</dcterms:modified>
</cp:coreProperties>
</file>